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0B" w:rsidRPr="00087F00" w:rsidRDefault="00596A0B" w:rsidP="00596A0B">
      <w:pPr>
        <w:outlineLvl w:val="0"/>
        <w:rPr>
          <w:b/>
          <w:i/>
          <w:color w:val="000000"/>
          <w:sz w:val="28"/>
          <w:szCs w:val="28"/>
        </w:rPr>
      </w:pPr>
      <w:bookmarkStart w:id="0" w:name="_GoBack"/>
      <w:bookmarkEnd w:id="0"/>
      <w:r>
        <w:rPr>
          <w:b/>
          <w:sz w:val="24"/>
        </w:rPr>
        <w:t>Planning Proposal –</w:t>
      </w:r>
      <w:r w:rsidR="00977D33">
        <w:rPr>
          <w:b/>
          <w:sz w:val="24"/>
        </w:rPr>
        <w:t xml:space="preserve"> Biodiversity Offsets </w:t>
      </w:r>
      <w:r>
        <w:rPr>
          <w:b/>
          <w:sz w:val="24"/>
        </w:rPr>
        <w:t xml:space="preserve">- </w:t>
      </w:r>
      <w:r w:rsidRPr="00087F00">
        <w:rPr>
          <w:b/>
          <w:sz w:val="24"/>
        </w:rPr>
        <w:t>(PP_201</w:t>
      </w:r>
      <w:r w:rsidR="00977D33">
        <w:rPr>
          <w:b/>
          <w:sz w:val="24"/>
        </w:rPr>
        <w:t>6</w:t>
      </w:r>
      <w:r w:rsidRPr="00087F00">
        <w:rPr>
          <w:b/>
          <w:sz w:val="24"/>
        </w:rPr>
        <w:t>_LAKEM_00</w:t>
      </w:r>
      <w:r w:rsidR="00977D33">
        <w:rPr>
          <w:b/>
          <w:sz w:val="24"/>
        </w:rPr>
        <w:t>1</w:t>
      </w:r>
      <w:r w:rsidRPr="00087F00">
        <w:rPr>
          <w:b/>
          <w:sz w:val="24"/>
        </w:rPr>
        <w:t>_00)</w:t>
      </w:r>
    </w:p>
    <w:p w:rsidR="00596A0B" w:rsidRDefault="00596A0B" w:rsidP="00596A0B">
      <w:pPr>
        <w:rPr>
          <w:b/>
          <w:sz w:val="24"/>
        </w:rPr>
      </w:pPr>
    </w:p>
    <w:p w:rsidR="00596A0B" w:rsidRPr="00EF771C" w:rsidRDefault="00977D33" w:rsidP="00596A0B">
      <w:pPr>
        <w:rPr>
          <w:b/>
          <w:sz w:val="24"/>
        </w:rPr>
      </w:pPr>
      <w:r>
        <w:rPr>
          <w:b/>
          <w:sz w:val="24"/>
        </w:rPr>
        <w:t xml:space="preserve">Report to Director City Strategy </w:t>
      </w:r>
      <w:r w:rsidR="00596A0B" w:rsidRPr="00EF771C">
        <w:rPr>
          <w:b/>
          <w:sz w:val="24"/>
        </w:rPr>
        <w:t xml:space="preserve">– Use of Delegations to finalise </w:t>
      </w:r>
      <w:r w:rsidR="00596A0B">
        <w:rPr>
          <w:b/>
          <w:sz w:val="24"/>
        </w:rPr>
        <w:t>A</w:t>
      </w:r>
      <w:r w:rsidR="00596A0B" w:rsidRPr="00EF771C">
        <w:rPr>
          <w:b/>
          <w:sz w:val="24"/>
        </w:rPr>
        <w:t xml:space="preserve">mendment to </w:t>
      </w:r>
      <w:r w:rsidR="00596A0B">
        <w:rPr>
          <w:b/>
          <w:sz w:val="24"/>
        </w:rPr>
        <w:t>L</w:t>
      </w:r>
      <w:r w:rsidR="00596A0B" w:rsidRPr="00EF771C">
        <w:rPr>
          <w:b/>
          <w:sz w:val="24"/>
        </w:rPr>
        <w:t>ake Macquarie LEP 2014</w:t>
      </w:r>
      <w:r>
        <w:rPr>
          <w:b/>
          <w:sz w:val="24"/>
        </w:rPr>
        <w:t xml:space="preserve"> – Biodiversity Offsets</w:t>
      </w:r>
      <w:r w:rsidR="00596A0B" w:rsidRPr="00EF771C">
        <w:rPr>
          <w:b/>
          <w:sz w:val="24"/>
        </w:rPr>
        <w:t>.</w:t>
      </w:r>
    </w:p>
    <w:tbl>
      <w:tblPr>
        <w:tblStyle w:val="TableGrid1"/>
        <w:tblpPr w:leftFromText="180" w:rightFromText="180" w:vertAnchor="text" w:horzAnchor="margin" w:tblpY="92"/>
        <w:tblW w:w="0" w:type="auto"/>
        <w:tblLook w:val="01E0" w:firstRow="1" w:lastRow="1" w:firstColumn="1" w:lastColumn="1" w:noHBand="0" w:noVBand="0"/>
      </w:tblPr>
      <w:tblGrid>
        <w:gridCol w:w="1634"/>
        <w:gridCol w:w="4594"/>
        <w:gridCol w:w="2294"/>
      </w:tblGrid>
      <w:tr w:rsidR="00596A0B" w:rsidRPr="00EF771C" w:rsidTr="00EA4D99">
        <w:tc>
          <w:tcPr>
            <w:tcW w:w="1634" w:type="dxa"/>
          </w:tcPr>
          <w:p w:rsidR="00596A0B" w:rsidRPr="00EF771C" w:rsidRDefault="00596A0B" w:rsidP="00EA4D99">
            <w:r w:rsidRPr="00EF771C">
              <w:t>Folder No:</w:t>
            </w:r>
          </w:p>
        </w:tc>
        <w:tc>
          <w:tcPr>
            <w:tcW w:w="6888" w:type="dxa"/>
            <w:gridSpan w:val="2"/>
          </w:tcPr>
          <w:p w:rsidR="00596A0B" w:rsidRPr="00EF771C" w:rsidRDefault="00977D33" w:rsidP="00EA4D99">
            <w:r>
              <w:t>F2016/00440</w:t>
            </w:r>
          </w:p>
        </w:tc>
      </w:tr>
      <w:tr w:rsidR="00596A0B" w:rsidRPr="00EF771C" w:rsidTr="00EA4D99">
        <w:tc>
          <w:tcPr>
            <w:tcW w:w="1634" w:type="dxa"/>
          </w:tcPr>
          <w:p w:rsidR="00596A0B" w:rsidRPr="00EF771C" w:rsidRDefault="00596A0B" w:rsidP="00EA4D99">
            <w:r w:rsidRPr="00EF771C">
              <w:t>Report By:</w:t>
            </w:r>
          </w:p>
        </w:tc>
        <w:tc>
          <w:tcPr>
            <w:tcW w:w="4594" w:type="dxa"/>
          </w:tcPr>
          <w:p w:rsidR="00596A0B" w:rsidRPr="00EF771C" w:rsidRDefault="00596A0B" w:rsidP="00EA4D99">
            <w:r w:rsidRPr="00EF771C">
              <w:t xml:space="preserve">Strategic Planner – </w:t>
            </w:r>
            <w:r>
              <w:t>Angel Troke</w:t>
            </w:r>
          </w:p>
        </w:tc>
        <w:tc>
          <w:tcPr>
            <w:tcW w:w="2294" w:type="dxa"/>
          </w:tcPr>
          <w:p w:rsidR="00596A0B" w:rsidRPr="00EF771C" w:rsidRDefault="005C0DCE" w:rsidP="005C0DCE">
            <w:pPr>
              <w:rPr>
                <w:szCs w:val="22"/>
              </w:rPr>
            </w:pPr>
            <w:r>
              <w:rPr>
                <w:szCs w:val="22"/>
              </w:rPr>
              <w:t>22</w:t>
            </w:r>
            <w:r w:rsidR="00977D33">
              <w:rPr>
                <w:szCs w:val="22"/>
              </w:rPr>
              <w:t xml:space="preserve"> July 2016</w:t>
            </w:r>
          </w:p>
        </w:tc>
      </w:tr>
    </w:tbl>
    <w:p w:rsidR="00596A0B" w:rsidRDefault="00596A0B" w:rsidP="00596A0B">
      <w:pPr>
        <w:spacing w:before="160"/>
        <w:rPr>
          <w:b/>
          <w:szCs w:val="20"/>
        </w:rPr>
      </w:pPr>
    </w:p>
    <w:p w:rsidR="00596A0B" w:rsidRPr="00EF771C" w:rsidRDefault="00596A0B" w:rsidP="00596A0B">
      <w:pPr>
        <w:spacing w:before="160"/>
        <w:rPr>
          <w:b/>
          <w:szCs w:val="20"/>
        </w:rPr>
      </w:pPr>
      <w:r w:rsidRPr="00EF771C">
        <w:rPr>
          <w:b/>
          <w:szCs w:val="20"/>
        </w:rPr>
        <w:t>Précis:</w:t>
      </w:r>
    </w:p>
    <w:p w:rsidR="00596A0B" w:rsidRDefault="00596A0B" w:rsidP="00596A0B">
      <w:pPr>
        <w:rPr>
          <w:rFonts w:cs="Arial"/>
          <w:szCs w:val="22"/>
        </w:rPr>
      </w:pPr>
      <w:r>
        <w:rPr>
          <w:lang w:val="en-GB"/>
        </w:rPr>
        <w:t>A Planning Proposal</w:t>
      </w:r>
      <w:r w:rsidR="00D333C7">
        <w:rPr>
          <w:lang w:val="en-GB"/>
        </w:rPr>
        <w:t xml:space="preserve"> (Attachment 1)</w:t>
      </w:r>
      <w:r>
        <w:rPr>
          <w:lang w:val="en-GB"/>
        </w:rPr>
        <w:t xml:space="preserve"> to facilitate the subdivision of biodiversity offsets associated with development and rezoning applications was exhibited from 14 May 2016 to 30 May 2016. </w:t>
      </w:r>
      <w:r>
        <w:rPr>
          <w:rFonts w:cs="Arial"/>
          <w:szCs w:val="22"/>
        </w:rPr>
        <w:t>Council received no public submissions on the Planning Proposal and three responses from government agencies, though no major concerns were raised</w:t>
      </w:r>
      <w:r w:rsidR="0073021B">
        <w:rPr>
          <w:rFonts w:cs="Arial"/>
          <w:szCs w:val="22"/>
        </w:rPr>
        <w:t xml:space="preserve"> and no changes are proposed to the planning proposal</w:t>
      </w:r>
      <w:r>
        <w:rPr>
          <w:rFonts w:cs="Arial"/>
          <w:szCs w:val="22"/>
        </w:rPr>
        <w:t xml:space="preserve">. </w:t>
      </w:r>
    </w:p>
    <w:p w:rsidR="00596A0B" w:rsidRDefault="00596A0B" w:rsidP="00596A0B">
      <w:r w:rsidRPr="00EF771C">
        <w:t>This report recommends the use of the</w:t>
      </w:r>
      <w:r w:rsidR="00D90F69">
        <w:t xml:space="preserve"> Director of City Strategy’s</w:t>
      </w:r>
      <w:r w:rsidRPr="00EF771C">
        <w:t xml:space="preserve"> Delegation of Authority </w:t>
      </w:r>
      <w:r>
        <w:t xml:space="preserve">and delegations granted by the Minister for Planning </w:t>
      </w:r>
      <w:r w:rsidR="00D90F69">
        <w:t xml:space="preserve">and Environment </w:t>
      </w:r>
      <w:r w:rsidRPr="00EF771C">
        <w:t>to</w:t>
      </w:r>
      <w:r>
        <w:t xml:space="preserve"> make the</w:t>
      </w:r>
      <w:r w:rsidRPr="00EF771C">
        <w:t xml:space="preserve"> local environmental plan (LEP) under section 59 of the </w:t>
      </w:r>
      <w:r w:rsidRPr="00EF771C">
        <w:rPr>
          <w:i/>
        </w:rPr>
        <w:t>Environmental Planning and Assessment (EP&amp;A) Act 1979</w:t>
      </w:r>
      <w:r w:rsidRPr="00EF771C">
        <w:t>.</w:t>
      </w:r>
    </w:p>
    <w:p w:rsidR="00596A0B" w:rsidRPr="00EF771C" w:rsidRDefault="00596A0B" w:rsidP="00596A0B">
      <w:pPr>
        <w:spacing w:before="160"/>
        <w:rPr>
          <w:b/>
          <w:szCs w:val="20"/>
        </w:rPr>
      </w:pPr>
      <w:r w:rsidRPr="00EF771C">
        <w:rPr>
          <w:b/>
          <w:szCs w:val="20"/>
        </w:rPr>
        <w:t>Background:</w:t>
      </w:r>
    </w:p>
    <w:p w:rsidR="00596A0B" w:rsidRDefault="00596A0B" w:rsidP="00596A0B">
      <w:pPr>
        <w:pStyle w:val="Default"/>
        <w:rPr>
          <w:sz w:val="22"/>
          <w:szCs w:val="22"/>
        </w:rPr>
      </w:pPr>
      <w:r>
        <w:rPr>
          <w:sz w:val="22"/>
          <w:szCs w:val="22"/>
        </w:rPr>
        <w:t>Council resolved on 14 September 2015 (15STRAT051), to prepare a draft amendment to Lake Macquarie Local Environmental Plan (LEP) 2014</w:t>
      </w:r>
      <w:r w:rsidR="003372E0">
        <w:rPr>
          <w:sz w:val="22"/>
          <w:szCs w:val="22"/>
        </w:rPr>
        <w:t xml:space="preserve"> (Attachment 2)</w:t>
      </w:r>
      <w:r>
        <w:rPr>
          <w:sz w:val="22"/>
          <w:szCs w:val="22"/>
        </w:rPr>
        <w:t xml:space="preserve">. The draft amendment included a number of administrative changes to the current LEP. One of these issues related to a proposed new clause to </w:t>
      </w:r>
      <w:r w:rsidR="00FE48D8">
        <w:rPr>
          <w:sz w:val="22"/>
          <w:szCs w:val="22"/>
        </w:rPr>
        <w:t>facilitate</w:t>
      </w:r>
      <w:r>
        <w:rPr>
          <w:sz w:val="22"/>
          <w:szCs w:val="22"/>
        </w:rPr>
        <w:t xml:space="preserve"> the creation of </w:t>
      </w:r>
      <w:r w:rsidR="00FE48D8">
        <w:rPr>
          <w:sz w:val="22"/>
          <w:szCs w:val="22"/>
        </w:rPr>
        <w:t>small biodiversity offset sites. U</w:t>
      </w:r>
      <w:r>
        <w:rPr>
          <w:sz w:val="22"/>
          <w:szCs w:val="22"/>
        </w:rPr>
        <w:t xml:space="preserve">nder the current Lake Macquarie LEP 2014 </w:t>
      </w:r>
      <w:r w:rsidR="00FE48D8">
        <w:rPr>
          <w:sz w:val="22"/>
          <w:szCs w:val="22"/>
        </w:rPr>
        <w:t xml:space="preserve">there are no </w:t>
      </w:r>
      <w:r>
        <w:rPr>
          <w:sz w:val="22"/>
          <w:szCs w:val="22"/>
        </w:rPr>
        <w:t>provisions</w:t>
      </w:r>
      <w:r w:rsidR="00FE48D8">
        <w:rPr>
          <w:sz w:val="22"/>
          <w:szCs w:val="22"/>
        </w:rPr>
        <w:t xml:space="preserve"> to permit the creation of a biodiversity offset site, </w:t>
      </w:r>
      <w:r>
        <w:rPr>
          <w:sz w:val="22"/>
          <w:szCs w:val="22"/>
        </w:rPr>
        <w:t xml:space="preserve">where the lot does not meet the minimum lot size provisions. </w:t>
      </w:r>
    </w:p>
    <w:p w:rsidR="00596A0B" w:rsidRDefault="00596A0B" w:rsidP="00596A0B">
      <w:pPr>
        <w:pStyle w:val="Default"/>
        <w:rPr>
          <w:sz w:val="22"/>
          <w:szCs w:val="22"/>
        </w:rPr>
      </w:pPr>
    </w:p>
    <w:p w:rsidR="00596A0B" w:rsidRPr="00D333C7" w:rsidRDefault="00596A0B" w:rsidP="00D333C7">
      <w:pPr>
        <w:pStyle w:val="Default"/>
        <w:rPr>
          <w:sz w:val="22"/>
          <w:szCs w:val="22"/>
        </w:rPr>
      </w:pPr>
      <w:r>
        <w:rPr>
          <w:sz w:val="22"/>
          <w:szCs w:val="22"/>
        </w:rPr>
        <w:t>Council requested</w:t>
      </w:r>
      <w:r w:rsidR="005C0DCE">
        <w:rPr>
          <w:sz w:val="22"/>
          <w:szCs w:val="22"/>
        </w:rPr>
        <w:t xml:space="preserve"> a Gateway Determination for the draft amendment. </w:t>
      </w:r>
      <w:r w:rsidR="00FE48D8">
        <w:rPr>
          <w:sz w:val="22"/>
          <w:szCs w:val="22"/>
        </w:rPr>
        <w:t>T</w:t>
      </w:r>
      <w:r>
        <w:rPr>
          <w:sz w:val="22"/>
          <w:szCs w:val="22"/>
        </w:rPr>
        <w:t xml:space="preserve">he Department of Planning and Environment (DoPE) advised </w:t>
      </w:r>
      <w:r w:rsidR="005C0DCE">
        <w:rPr>
          <w:sz w:val="22"/>
          <w:szCs w:val="22"/>
        </w:rPr>
        <w:t xml:space="preserve">Council </w:t>
      </w:r>
      <w:r>
        <w:rPr>
          <w:sz w:val="22"/>
          <w:szCs w:val="22"/>
        </w:rPr>
        <w:t xml:space="preserve">to </w:t>
      </w:r>
      <w:r w:rsidR="005C0DCE">
        <w:rPr>
          <w:sz w:val="22"/>
          <w:szCs w:val="22"/>
        </w:rPr>
        <w:t xml:space="preserve">proceed with the </w:t>
      </w:r>
      <w:r>
        <w:rPr>
          <w:sz w:val="22"/>
          <w:szCs w:val="22"/>
        </w:rPr>
        <w:t xml:space="preserve">biodiversity offset clause as </w:t>
      </w:r>
      <w:r w:rsidR="005C0DCE">
        <w:rPr>
          <w:sz w:val="22"/>
          <w:szCs w:val="22"/>
        </w:rPr>
        <w:t xml:space="preserve">a stand alone amendment as </w:t>
      </w:r>
      <w:r>
        <w:rPr>
          <w:sz w:val="22"/>
          <w:szCs w:val="22"/>
        </w:rPr>
        <w:t>this may require more time and consideration. After further consultation with the Office of Environment and Heritage, a sep</w:t>
      </w:r>
      <w:r w:rsidR="00D333C7">
        <w:rPr>
          <w:sz w:val="22"/>
          <w:szCs w:val="22"/>
        </w:rPr>
        <w:t>a</w:t>
      </w:r>
      <w:r>
        <w:rPr>
          <w:sz w:val="22"/>
          <w:szCs w:val="22"/>
        </w:rPr>
        <w:t>rate Gateway Determination was issued by the Department of Planning and Environment relating to the biodiversity offset clause</w:t>
      </w:r>
      <w:r w:rsidR="003372E0">
        <w:rPr>
          <w:sz w:val="22"/>
          <w:szCs w:val="22"/>
        </w:rPr>
        <w:t xml:space="preserve">. The Gateway determination </w:t>
      </w:r>
      <w:r w:rsidRPr="00474B9C">
        <w:rPr>
          <w:sz w:val="22"/>
          <w:szCs w:val="22"/>
        </w:rPr>
        <w:t>granted Council delegation</w:t>
      </w:r>
      <w:r w:rsidR="003372E0">
        <w:rPr>
          <w:sz w:val="22"/>
          <w:szCs w:val="22"/>
        </w:rPr>
        <w:t>s</w:t>
      </w:r>
      <w:r w:rsidRPr="00474B9C">
        <w:rPr>
          <w:sz w:val="22"/>
          <w:szCs w:val="22"/>
        </w:rPr>
        <w:t xml:space="preserve"> </w:t>
      </w:r>
      <w:r w:rsidR="00FE48D8">
        <w:rPr>
          <w:sz w:val="22"/>
          <w:szCs w:val="22"/>
        </w:rPr>
        <w:t xml:space="preserve">under s59 of the EP&amp;A Act 1979 </w:t>
      </w:r>
      <w:r w:rsidRPr="00474B9C">
        <w:rPr>
          <w:sz w:val="22"/>
          <w:szCs w:val="22"/>
        </w:rPr>
        <w:t>to make the LEP on behalf of the Min</w:t>
      </w:r>
      <w:r w:rsidR="003372E0">
        <w:rPr>
          <w:sz w:val="22"/>
          <w:szCs w:val="22"/>
        </w:rPr>
        <w:t>ister for Planning (Attachment 3</w:t>
      </w:r>
      <w:r w:rsidRPr="00474B9C">
        <w:rPr>
          <w:sz w:val="22"/>
          <w:szCs w:val="22"/>
        </w:rPr>
        <w:t>)</w:t>
      </w:r>
      <w:r>
        <w:rPr>
          <w:sz w:val="22"/>
          <w:szCs w:val="22"/>
        </w:rPr>
        <w:t xml:space="preserve">. </w:t>
      </w:r>
      <w:r w:rsidR="00D333C7" w:rsidRPr="00D333C7">
        <w:rPr>
          <w:sz w:val="22"/>
          <w:szCs w:val="22"/>
        </w:rPr>
        <w:t xml:space="preserve">Community consultation has now occurred and no </w:t>
      </w:r>
      <w:r w:rsidR="00D333C7">
        <w:rPr>
          <w:sz w:val="22"/>
          <w:szCs w:val="22"/>
        </w:rPr>
        <w:t>submissions from the public were received</w:t>
      </w:r>
      <w:r w:rsidR="00D333C7" w:rsidRPr="00D333C7">
        <w:rPr>
          <w:sz w:val="22"/>
          <w:szCs w:val="22"/>
        </w:rPr>
        <w:t xml:space="preserve">. </w:t>
      </w:r>
    </w:p>
    <w:p w:rsidR="00596A0B" w:rsidRDefault="00596A0B" w:rsidP="00596A0B">
      <w:pPr>
        <w:spacing w:before="160"/>
        <w:rPr>
          <w:b/>
          <w:szCs w:val="20"/>
        </w:rPr>
      </w:pPr>
      <w:r w:rsidRPr="00EF771C">
        <w:rPr>
          <w:b/>
          <w:szCs w:val="20"/>
        </w:rPr>
        <w:t>Proposal:</w:t>
      </w:r>
    </w:p>
    <w:p w:rsidR="00596A0B" w:rsidRPr="00EF771C" w:rsidRDefault="00596A0B" w:rsidP="00596A0B">
      <w:pPr>
        <w:spacing w:after="0"/>
      </w:pPr>
      <w:r w:rsidRPr="00EF771C">
        <w:t xml:space="preserve">It is proposed that the </w:t>
      </w:r>
      <w:r w:rsidR="00D333C7">
        <w:t xml:space="preserve">Director of City Strategy’s </w:t>
      </w:r>
      <w:r w:rsidRPr="00EF771C">
        <w:t xml:space="preserve">Delegation of Authority </w:t>
      </w:r>
      <w:r w:rsidR="00D333C7">
        <w:t>be</w:t>
      </w:r>
      <w:r w:rsidRPr="00EF771C">
        <w:t xml:space="preserve"> used to advise the Minister for Planning </w:t>
      </w:r>
      <w:r w:rsidR="00D333C7">
        <w:t xml:space="preserve">and Environment </w:t>
      </w:r>
      <w:r w:rsidRPr="00EF771C">
        <w:t>that no changes are required to the Planning Proposal</w:t>
      </w:r>
      <w:r w:rsidR="003372E0">
        <w:t xml:space="preserve"> and to make the plan</w:t>
      </w:r>
      <w:r w:rsidRPr="00EF771C">
        <w:t>.  A resolution from Council is not required</w:t>
      </w:r>
      <w:r w:rsidR="00D333C7">
        <w:t xml:space="preserve"> to advise the Minister when this Delegation of Authority is exercised.  This delegation</w:t>
      </w:r>
      <w:r w:rsidRPr="00EF771C">
        <w:t xml:space="preserve"> enables the </w:t>
      </w:r>
      <w:r w:rsidR="00D333C7">
        <w:t>Director of City Strategy</w:t>
      </w:r>
      <w:r w:rsidRPr="00EF771C">
        <w:t xml:space="preserve">: </w:t>
      </w:r>
    </w:p>
    <w:p w:rsidR="00596A0B" w:rsidRPr="00EF771C" w:rsidRDefault="00596A0B" w:rsidP="00596A0B">
      <w:pPr>
        <w:spacing w:after="0"/>
        <w:rPr>
          <w:sz w:val="12"/>
          <w:szCs w:val="12"/>
        </w:rPr>
      </w:pPr>
    </w:p>
    <w:p w:rsidR="00596A0B" w:rsidRPr="00EF771C" w:rsidRDefault="00596A0B" w:rsidP="00596A0B">
      <w:pPr>
        <w:spacing w:after="120"/>
        <w:ind w:left="360"/>
        <w:rPr>
          <w:i/>
        </w:rPr>
      </w:pPr>
      <w:r w:rsidRPr="00EF771C">
        <w:rPr>
          <w:i/>
        </w:rPr>
        <w:t>To advise the Minister for Planning that no change is required to a Planning Proposal for a minor matter, at the conclusion of the community consultation process for that Planning Proposal.  A minor Planning Proposal would be:</w:t>
      </w:r>
    </w:p>
    <w:p w:rsidR="00596A0B" w:rsidRPr="00EF771C" w:rsidRDefault="00596A0B" w:rsidP="00596A0B">
      <w:pPr>
        <w:spacing w:after="120"/>
        <w:ind w:left="720"/>
        <w:rPr>
          <w:i/>
        </w:rPr>
      </w:pPr>
      <w:r w:rsidRPr="00EF771C">
        <w:rPr>
          <w:i/>
        </w:rPr>
        <w:lastRenderedPageBreak/>
        <w:t>1) Where the Planning Proposal clearly articulated the nature of the change to the LEP at the section 56(1) stage of the amendment process; and</w:t>
      </w:r>
    </w:p>
    <w:p w:rsidR="00596A0B" w:rsidRDefault="00596A0B" w:rsidP="00596A0B">
      <w:pPr>
        <w:spacing w:after="0"/>
        <w:ind w:left="720"/>
        <w:rPr>
          <w:i/>
        </w:rPr>
      </w:pPr>
      <w:r w:rsidRPr="00EF771C">
        <w:rPr>
          <w:i/>
        </w:rPr>
        <w:t xml:space="preserve">2) Where the Gateway Determination has directed that the LEP amendment will be dealt within a timeframe of 9 months or less. </w:t>
      </w:r>
    </w:p>
    <w:p w:rsidR="00596A0B" w:rsidRDefault="00596A0B" w:rsidP="00596A0B">
      <w:pPr>
        <w:spacing w:after="0"/>
        <w:ind w:left="720"/>
        <w:rPr>
          <w:i/>
        </w:rPr>
      </w:pPr>
    </w:p>
    <w:p w:rsidR="00596A0B" w:rsidRPr="00EF771C" w:rsidRDefault="00596A0B" w:rsidP="00596A0B">
      <w:pPr>
        <w:spacing w:after="0"/>
        <w:ind w:left="720"/>
        <w:rPr>
          <w:i/>
        </w:rPr>
      </w:pPr>
      <w:r w:rsidRPr="00E9565B">
        <w:rPr>
          <w:i/>
        </w:rPr>
        <w:t>3) Where no submissions are received by Council during exhibition,</w:t>
      </w:r>
      <w:r>
        <w:rPr>
          <w:i/>
        </w:rPr>
        <w:t xml:space="preserve"> </w:t>
      </w:r>
      <w:r w:rsidRPr="00E9565B">
        <w:rPr>
          <w:i/>
        </w:rPr>
        <w:t>that requests a</w:t>
      </w:r>
      <w:r>
        <w:rPr>
          <w:i/>
        </w:rPr>
        <w:t xml:space="preserve"> </w:t>
      </w:r>
      <w:r w:rsidRPr="00E9565B">
        <w:rPr>
          <w:i/>
        </w:rPr>
        <w:t>change to the Planning Proposal.</w:t>
      </w:r>
    </w:p>
    <w:p w:rsidR="00596A0B" w:rsidRPr="00E9565B" w:rsidRDefault="00596A0B" w:rsidP="00596A0B">
      <w:pPr>
        <w:spacing w:after="0"/>
        <w:rPr>
          <w:i/>
        </w:rPr>
      </w:pPr>
    </w:p>
    <w:p w:rsidR="00596A0B" w:rsidRPr="00EF771C" w:rsidRDefault="00596A0B" w:rsidP="00596A0B">
      <w:pPr>
        <w:spacing w:after="0"/>
      </w:pPr>
      <w:r w:rsidRPr="00EF771C">
        <w:t xml:space="preserve">The Planning Proposal complies with </w:t>
      </w:r>
      <w:r w:rsidR="00D333C7">
        <w:t>this delegation</w:t>
      </w:r>
      <w:r w:rsidRPr="00EF771C">
        <w:t xml:space="preserve">, specifically: </w:t>
      </w:r>
    </w:p>
    <w:p w:rsidR="00596A0B" w:rsidRPr="00EF771C" w:rsidRDefault="00596A0B" w:rsidP="00596A0B">
      <w:pPr>
        <w:numPr>
          <w:ilvl w:val="0"/>
          <w:numId w:val="36"/>
        </w:numPr>
        <w:spacing w:after="0"/>
      </w:pPr>
      <w:r w:rsidRPr="00EF771C">
        <w:t xml:space="preserve">the </w:t>
      </w:r>
      <w:r>
        <w:t>Planning Proposal (A</w:t>
      </w:r>
      <w:r w:rsidRPr="00EF771C">
        <w:t>ttachment 1) clearly articulated the nature and justification of the change to the LEP at the section 56(1) stage;</w:t>
      </w:r>
    </w:p>
    <w:p w:rsidR="00596A0B" w:rsidRPr="00EF771C" w:rsidRDefault="00596A0B" w:rsidP="00596A0B">
      <w:pPr>
        <w:numPr>
          <w:ilvl w:val="0"/>
          <w:numId w:val="36"/>
        </w:numPr>
        <w:spacing w:after="0"/>
      </w:pPr>
      <w:r w:rsidRPr="00EF771C">
        <w:t xml:space="preserve">no </w:t>
      </w:r>
      <w:r>
        <w:t xml:space="preserve">public </w:t>
      </w:r>
      <w:r w:rsidRPr="00EF771C">
        <w:t>submissions were received for Council to consider;</w:t>
      </w:r>
    </w:p>
    <w:p w:rsidR="00596A0B" w:rsidRPr="009532B7" w:rsidRDefault="00596A0B" w:rsidP="00596A0B">
      <w:pPr>
        <w:numPr>
          <w:ilvl w:val="0"/>
          <w:numId w:val="36"/>
        </w:numPr>
        <w:spacing w:after="0"/>
        <w:rPr>
          <w:b/>
        </w:rPr>
      </w:pPr>
      <w:r w:rsidRPr="00EF771C">
        <w:t>the Gateway Determination requires the LEP amendment to be c</w:t>
      </w:r>
      <w:r>
        <w:t>ompleted within a timeframe of 9</w:t>
      </w:r>
      <w:r w:rsidRPr="00EF771C">
        <w:t xml:space="preserve"> months.</w:t>
      </w:r>
    </w:p>
    <w:p w:rsidR="00596A0B" w:rsidRPr="00EF771C" w:rsidRDefault="00596A0B" w:rsidP="00596A0B">
      <w:pPr>
        <w:spacing w:after="0"/>
        <w:rPr>
          <w:b/>
        </w:rPr>
      </w:pPr>
    </w:p>
    <w:p w:rsidR="00FE48D8" w:rsidRDefault="00FE48D8" w:rsidP="00596A0B">
      <w:r>
        <w:t>As t</w:t>
      </w:r>
      <w:r w:rsidR="00596A0B">
        <w:t xml:space="preserve">he Department of Planning and Environment also issued authorisation for Council to exercise delegation to make the plan under section 59 of the </w:t>
      </w:r>
      <w:r w:rsidR="00596A0B" w:rsidRPr="009532B7">
        <w:rPr>
          <w:i/>
        </w:rPr>
        <w:t>Environmental Planning and Assessment Act</w:t>
      </w:r>
      <w:r>
        <w:t xml:space="preserve"> 1979</w:t>
      </w:r>
      <w:r w:rsidR="00A3373F">
        <w:t>, P</w:t>
      </w:r>
      <w:r>
        <w:t xml:space="preserve">arliamentary Counsel will be directly requested. Upon receipt of Parliamentary Counsel opinion, the plan will be made pursuant to the Minister’s delegation of authority. </w:t>
      </w:r>
    </w:p>
    <w:p w:rsidR="00596A0B" w:rsidRPr="00EF771C" w:rsidRDefault="00596A0B" w:rsidP="00596A0B">
      <w:pPr>
        <w:spacing w:before="160"/>
        <w:rPr>
          <w:b/>
          <w:szCs w:val="20"/>
        </w:rPr>
      </w:pPr>
      <w:r w:rsidRPr="00EF771C">
        <w:rPr>
          <w:b/>
          <w:szCs w:val="20"/>
        </w:rPr>
        <w:t>Consultation:</w:t>
      </w:r>
    </w:p>
    <w:p w:rsidR="00596A0B" w:rsidRPr="00EF771C" w:rsidRDefault="00596A0B" w:rsidP="00596A0B">
      <w:pPr>
        <w:rPr>
          <w:u w:val="single"/>
        </w:rPr>
      </w:pPr>
      <w:r w:rsidRPr="00EF771C">
        <w:rPr>
          <w:u w:val="single"/>
        </w:rPr>
        <w:t>Government agencies</w:t>
      </w:r>
    </w:p>
    <w:p w:rsidR="00596A0B" w:rsidRDefault="00596A0B" w:rsidP="00474B9C">
      <w:pPr>
        <w:rPr>
          <w:rFonts w:cs="Arial"/>
          <w:szCs w:val="22"/>
        </w:rPr>
      </w:pPr>
      <w:r w:rsidRPr="00EF771C">
        <w:rPr>
          <w:szCs w:val="22"/>
        </w:rPr>
        <w:t xml:space="preserve">The Gateway determination required </w:t>
      </w:r>
      <w:r>
        <w:rPr>
          <w:szCs w:val="22"/>
        </w:rPr>
        <w:t xml:space="preserve">no </w:t>
      </w:r>
      <w:r w:rsidRPr="00EF771C">
        <w:rPr>
          <w:szCs w:val="22"/>
        </w:rPr>
        <w:t xml:space="preserve">consultation with </w:t>
      </w:r>
      <w:r>
        <w:rPr>
          <w:szCs w:val="22"/>
        </w:rPr>
        <w:t xml:space="preserve">government </w:t>
      </w:r>
      <w:r w:rsidR="00474B9C">
        <w:rPr>
          <w:szCs w:val="22"/>
        </w:rPr>
        <w:t xml:space="preserve">agencies, </w:t>
      </w:r>
      <w:r>
        <w:rPr>
          <w:rFonts w:cs="Arial"/>
          <w:szCs w:val="22"/>
        </w:rPr>
        <w:t xml:space="preserve">however consultation has occurred with Office of Environment and Heritage (OEH), </w:t>
      </w:r>
      <w:r w:rsidR="00F252FA">
        <w:rPr>
          <w:rFonts w:cs="Arial"/>
          <w:szCs w:val="22"/>
        </w:rPr>
        <w:t xml:space="preserve">the </w:t>
      </w:r>
      <w:r>
        <w:rPr>
          <w:rFonts w:cs="Arial"/>
          <w:szCs w:val="22"/>
        </w:rPr>
        <w:t>Department of Industry Resources and Energy</w:t>
      </w:r>
      <w:r w:rsidR="00F252FA">
        <w:rPr>
          <w:rFonts w:cs="Arial"/>
          <w:szCs w:val="22"/>
        </w:rPr>
        <w:t xml:space="preserve"> and </w:t>
      </w:r>
      <w:r w:rsidR="003372E0">
        <w:rPr>
          <w:rFonts w:cs="Arial"/>
          <w:szCs w:val="22"/>
        </w:rPr>
        <w:t xml:space="preserve">the </w:t>
      </w:r>
      <w:r w:rsidR="00F252FA">
        <w:rPr>
          <w:rFonts w:cs="Arial"/>
          <w:szCs w:val="22"/>
        </w:rPr>
        <w:t>NSW Rural Fire Service</w:t>
      </w:r>
      <w:r>
        <w:rPr>
          <w:rFonts w:cs="Arial"/>
          <w:szCs w:val="22"/>
        </w:rPr>
        <w:t>. These responses are summarised below:</w:t>
      </w:r>
    </w:p>
    <w:p w:rsidR="00596A0B" w:rsidRPr="00C304B2" w:rsidRDefault="00596A0B" w:rsidP="00596A0B">
      <w:pPr>
        <w:numPr>
          <w:ilvl w:val="0"/>
          <w:numId w:val="39"/>
        </w:numPr>
        <w:autoSpaceDE w:val="0"/>
        <w:autoSpaceDN w:val="0"/>
        <w:adjustRightInd w:val="0"/>
        <w:spacing w:after="0"/>
        <w:rPr>
          <w:rFonts w:cs="Arial"/>
          <w:i/>
          <w:szCs w:val="22"/>
        </w:rPr>
      </w:pPr>
      <w:r w:rsidRPr="00C304B2">
        <w:rPr>
          <w:rFonts w:cs="Arial"/>
          <w:i/>
          <w:szCs w:val="22"/>
        </w:rPr>
        <w:t>Office of Environment and Heritage</w:t>
      </w:r>
    </w:p>
    <w:p w:rsidR="00596A0B" w:rsidRPr="00C304B2" w:rsidRDefault="00596A0B" w:rsidP="00596A0B">
      <w:pPr>
        <w:autoSpaceDE w:val="0"/>
        <w:autoSpaceDN w:val="0"/>
        <w:adjustRightInd w:val="0"/>
        <w:spacing w:after="0"/>
        <w:rPr>
          <w:rFonts w:cs="Arial"/>
          <w:i/>
          <w:szCs w:val="22"/>
        </w:rPr>
      </w:pPr>
    </w:p>
    <w:p w:rsidR="00596A0B" w:rsidRDefault="00596A0B" w:rsidP="00596A0B">
      <w:pPr>
        <w:autoSpaceDE w:val="0"/>
        <w:autoSpaceDN w:val="0"/>
        <w:adjustRightInd w:val="0"/>
        <w:spacing w:after="0"/>
        <w:rPr>
          <w:rFonts w:cs="Arial"/>
          <w:szCs w:val="22"/>
        </w:rPr>
      </w:pPr>
      <w:r>
        <w:rPr>
          <w:rFonts w:cs="Arial"/>
          <w:szCs w:val="22"/>
        </w:rPr>
        <w:t xml:space="preserve">OEH supported the objectives of the planning proposal to facilitate offsets as part of rezoning and development applications. OEH supported the amendment, which seeks to provide greater flexibility for subdivision where this results in a biodiversity offset site which will be managed in perpetuity under an approved conservation mechanism.  </w:t>
      </w:r>
    </w:p>
    <w:p w:rsidR="00596A0B" w:rsidRDefault="00596A0B" w:rsidP="00596A0B">
      <w:pPr>
        <w:autoSpaceDE w:val="0"/>
        <w:autoSpaceDN w:val="0"/>
        <w:adjustRightInd w:val="0"/>
        <w:spacing w:after="0"/>
        <w:rPr>
          <w:rFonts w:cs="Arial"/>
          <w:szCs w:val="22"/>
        </w:rPr>
      </w:pPr>
    </w:p>
    <w:p w:rsidR="00596A0B" w:rsidRDefault="00596A0B" w:rsidP="00596A0B">
      <w:pPr>
        <w:numPr>
          <w:ilvl w:val="0"/>
          <w:numId w:val="39"/>
        </w:numPr>
        <w:autoSpaceDE w:val="0"/>
        <w:autoSpaceDN w:val="0"/>
        <w:adjustRightInd w:val="0"/>
        <w:spacing w:after="0"/>
        <w:rPr>
          <w:rFonts w:cs="Arial"/>
          <w:i/>
          <w:szCs w:val="22"/>
        </w:rPr>
      </w:pPr>
      <w:r w:rsidRPr="00C304B2">
        <w:rPr>
          <w:rFonts w:cs="Arial"/>
          <w:i/>
          <w:szCs w:val="22"/>
        </w:rPr>
        <w:t>Department of Industry Resources and Energy</w:t>
      </w:r>
      <w:r>
        <w:rPr>
          <w:rFonts w:cs="Arial"/>
          <w:i/>
          <w:szCs w:val="22"/>
        </w:rPr>
        <w:t xml:space="preserve"> – Geological Survey of NSW  (GSNSW)</w:t>
      </w:r>
    </w:p>
    <w:p w:rsidR="00596A0B" w:rsidRPr="00C304B2" w:rsidRDefault="00596A0B" w:rsidP="00596A0B">
      <w:pPr>
        <w:autoSpaceDE w:val="0"/>
        <w:autoSpaceDN w:val="0"/>
        <w:adjustRightInd w:val="0"/>
        <w:spacing w:after="0"/>
        <w:rPr>
          <w:rFonts w:cs="Arial"/>
          <w:szCs w:val="22"/>
        </w:rPr>
      </w:pPr>
    </w:p>
    <w:p w:rsidR="00596A0B" w:rsidRPr="00474B9C" w:rsidRDefault="00596A0B" w:rsidP="00596A0B">
      <w:pPr>
        <w:pStyle w:val="Default"/>
        <w:rPr>
          <w:color w:val="auto"/>
          <w:sz w:val="22"/>
          <w:szCs w:val="22"/>
        </w:rPr>
      </w:pPr>
      <w:r w:rsidRPr="00474B9C">
        <w:rPr>
          <w:color w:val="auto"/>
          <w:sz w:val="22"/>
          <w:szCs w:val="22"/>
        </w:rPr>
        <w:t>All planning proposals within the vicinity of state or regional significant mineral resources under coal, mineral or petroleum title, or identified in the Mineral Resource Audit - Lake Macquarie City should be referred to GSNSW.</w:t>
      </w:r>
    </w:p>
    <w:p w:rsidR="00596A0B" w:rsidRPr="00474B9C" w:rsidRDefault="00596A0B" w:rsidP="00596A0B">
      <w:pPr>
        <w:pStyle w:val="Default"/>
        <w:rPr>
          <w:color w:val="auto"/>
          <w:sz w:val="22"/>
          <w:szCs w:val="22"/>
        </w:rPr>
      </w:pPr>
    </w:p>
    <w:p w:rsidR="00596A0B" w:rsidRPr="00474B9C" w:rsidRDefault="00596A0B" w:rsidP="00596A0B">
      <w:pPr>
        <w:autoSpaceDE w:val="0"/>
        <w:autoSpaceDN w:val="0"/>
        <w:adjustRightInd w:val="0"/>
        <w:spacing w:after="0"/>
        <w:rPr>
          <w:rFonts w:cs="Arial"/>
          <w:szCs w:val="22"/>
        </w:rPr>
      </w:pPr>
      <w:r w:rsidRPr="00474B9C">
        <w:rPr>
          <w:rFonts w:cs="Arial"/>
          <w:szCs w:val="22"/>
        </w:rPr>
        <w:t>While GSNSW does not have concerns with the proposal in general, each proposed offset would require site specific assessment by GSNSW. GSNSW also recommend the use of the Biobank scheme, or equivalent under the Biodiversity Conservation Bill, as the preferred offset mechanism.</w:t>
      </w:r>
    </w:p>
    <w:p w:rsidR="00596A0B" w:rsidRDefault="00596A0B" w:rsidP="00596A0B">
      <w:pPr>
        <w:autoSpaceDE w:val="0"/>
        <w:autoSpaceDN w:val="0"/>
        <w:adjustRightInd w:val="0"/>
        <w:spacing w:after="0"/>
        <w:rPr>
          <w:szCs w:val="22"/>
        </w:rPr>
      </w:pPr>
    </w:p>
    <w:p w:rsidR="00596A0B" w:rsidRDefault="00596A0B" w:rsidP="00596A0B">
      <w:pPr>
        <w:autoSpaceDE w:val="0"/>
        <w:autoSpaceDN w:val="0"/>
        <w:adjustRightInd w:val="0"/>
        <w:spacing w:after="0"/>
        <w:ind w:firstLine="567"/>
        <w:rPr>
          <w:szCs w:val="22"/>
        </w:rPr>
      </w:pPr>
      <w:r>
        <w:rPr>
          <w:szCs w:val="22"/>
        </w:rPr>
        <w:t>Planning Comment:</w:t>
      </w:r>
    </w:p>
    <w:p w:rsidR="00596A0B" w:rsidRDefault="00596A0B" w:rsidP="00596A0B">
      <w:pPr>
        <w:autoSpaceDE w:val="0"/>
        <w:autoSpaceDN w:val="0"/>
        <w:adjustRightInd w:val="0"/>
        <w:spacing w:after="0"/>
        <w:ind w:firstLine="567"/>
        <w:rPr>
          <w:szCs w:val="22"/>
        </w:rPr>
      </w:pPr>
    </w:p>
    <w:p w:rsidR="00596A0B" w:rsidRDefault="00596A0B" w:rsidP="00596A0B">
      <w:pPr>
        <w:autoSpaceDE w:val="0"/>
        <w:autoSpaceDN w:val="0"/>
        <w:adjustRightInd w:val="0"/>
        <w:spacing w:after="0"/>
        <w:ind w:left="567"/>
        <w:rPr>
          <w:szCs w:val="22"/>
        </w:rPr>
      </w:pPr>
      <w:r>
        <w:rPr>
          <w:szCs w:val="22"/>
        </w:rPr>
        <w:t xml:space="preserve">Consultation would occur when biodiversity offset sites are proposed in accordance with requirements of the </w:t>
      </w:r>
      <w:r w:rsidRPr="00C304B2">
        <w:rPr>
          <w:i/>
          <w:szCs w:val="22"/>
        </w:rPr>
        <w:t>Threatened Species Conservation (Biodiversity Banking) Regulation</w:t>
      </w:r>
      <w:r>
        <w:rPr>
          <w:szCs w:val="22"/>
        </w:rPr>
        <w:t xml:space="preserve"> 2008.</w:t>
      </w:r>
    </w:p>
    <w:p w:rsidR="00474B9C" w:rsidRDefault="00474B9C" w:rsidP="00596A0B">
      <w:pPr>
        <w:autoSpaceDE w:val="0"/>
        <w:autoSpaceDN w:val="0"/>
        <w:adjustRightInd w:val="0"/>
        <w:spacing w:after="0"/>
        <w:ind w:left="567"/>
        <w:rPr>
          <w:szCs w:val="22"/>
        </w:rPr>
      </w:pPr>
    </w:p>
    <w:p w:rsidR="00474B9C" w:rsidRPr="00474B9C" w:rsidRDefault="00474B9C" w:rsidP="00474B9C">
      <w:pPr>
        <w:pStyle w:val="ListParagraph"/>
        <w:numPr>
          <w:ilvl w:val="0"/>
          <w:numId w:val="40"/>
        </w:numPr>
        <w:autoSpaceDE w:val="0"/>
        <w:autoSpaceDN w:val="0"/>
        <w:adjustRightInd w:val="0"/>
        <w:spacing w:afterLines="100" w:after="240"/>
        <w:rPr>
          <w:i/>
          <w:szCs w:val="22"/>
        </w:rPr>
      </w:pPr>
      <w:r w:rsidRPr="00474B9C">
        <w:rPr>
          <w:i/>
          <w:szCs w:val="22"/>
        </w:rPr>
        <w:t>NSW Rural Fire Service</w:t>
      </w:r>
    </w:p>
    <w:p w:rsidR="00474B9C" w:rsidRDefault="00474B9C" w:rsidP="00474B9C">
      <w:pPr>
        <w:autoSpaceDE w:val="0"/>
        <w:autoSpaceDN w:val="0"/>
        <w:adjustRightInd w:val="0"/>
        <w:spacing w:afterLines="100" w:after="240"/>
        <w:ind w:left="720"/>
        <w:rPr>
          <w:szCs w:val="22"/>
        </w:rPr>
      </w:pPr>
      <w:r>
        <w:rPr>
          <w:szCs w:val="22"/>
        </w:rPr>
        <w:t xml:space="preserve">No objection to the proposal. </w:t>
      </w:r>
      <w:r w:rsidRPr="001604CC">
        <w:rPr>
          <w:i/>
          <w:szCs w:val="22"/>
        </w:rPr>
        <w:t>Planning for Bushfire Protection</w:t>
      </w:r>
      <w:r>
        <w:rPr>
          <w:szCs w:val="22"/>
        </w:rPr>
        <w:t xml:space="preserve"> 2006 should be considered in any subsequent development application, especially in regard to:</w:t>
      </w:r>
    </w:p>
    <w:p w:rsidR="00474B9C" w:rsidRDefault="00474B9C" w:rsidP="00474B9C">
      <w:pPr>
        <w:pStyle w:val="ListParagraph"/>
        <w:numPr>
          <w:ilvl w:val="1"/>
          <w:numId w:val="40"/>
        </w:numPr>
        <w:autoSpaceDE w:val="0"/>
        <w:autoSpaceDN w:val="0"/>
        <w:adjustRightInd w:val="0"/>
        <w:spacing w:afterLines="100" w:after="240"/>
        <w:rPr>
          <w:szCs w:val="22"/>
        </w:rPr>
      </w:pPr>
      <w:r>
        <w:rPr>
          <w:szCs w:val="22"/>
        </w:rPr>
        <w:t>The provision of asset protection zones and consideration given to regeneration works and bush fire hazards within the offset site and future buildings.</w:t>
      </w:r>
    </w:p>
    <w:p w:rsidR="00474B9C" w:rsidRDefault="00474B9C" w:rsidP="00474B9C">
      <w:pPr>
        <w:pStyle w:val="ListParagraph"/>
        <w:numPr>
          <w:ilvl w:val="1"/>
          <w:numId w:val="40"/>
        </w:numPr>
        <w:autoSpaceDE w:val="0"/>
        <w:autoSpaceDN w:val="0"/>
        <w:adjustRightInd w:val="0"/>
        <w:spacing w:afterLines="100" w:after="240"/>
        <w:rPr>
          <w:szCs w:val="22"/>
        </w:rPr>
      </w:pPr>
      <w:r>
        <w:rPr>
          <w:szCs w:val="22"/>
        </w:rPr>
        <w:t>Consideration should be given to the incorporation of perimeter roads where development will face onto the bush fire prone vegetation</w:t>
      </w:r>
    </w:p>
    <w:p w:rsidR="00474B9C" w:rsidRDefault="00474B9C" w:rsidP="00474B9C">
      <w:pPr>
        <w:autoSpaceDE w:val="0"/>
        <w:autoSpaceDN w:val="0"/>
        <w:adjustRightInd w:val="0"/>
        <w:spacing w:afterLines="100" w:after="240"/>
        <w:ind w:left="720" w:firstLine="720"/>
        <w:rPr>
          <w:i/>
          <w:szCs w:val="22"/>
        </w:rPr>
      </w:pPr>
      <w:r w:rsidRPr="001604CC">
        <w:rPr>
          <w:i/>
          <w:szCs w:val="22"/>
        </w:rPr>
        <w:t>Planning Comment:</w:t>
      </w:r>
    </w:p>
    <w:p w:rsidR="00474B9C" w:rsidRPr="001604CC" w:rsidRDefault="00474B9C" w:rsidP="00474B9C">
      <w:pPr>
        <w:autoSpaceDE w:val="0"/>
        <w:autoSpaceDN w:val="0"/>
        <w:adjustRightInd w:val="0"/>
        <w:spacing w:afterLines="100" w:after="240"/>
        <w:ind w:left="1440"/>
        <w:rPr>
          <w:szCs w:val="22"/>
        </w:rPr>
      </w:pPr>
      <w:r>
        <w:rPr>
          <w:szCs w:val="22"/>
        </w:rPr>
        <w:t xml:space="preserve">Future development applications will address </w:t>
      </w:r>
      <w:r w:rsidRPr="001604CC">
        <w:rPr>
          <w:i/>
          <w:szCs w:val="22"/>
        </w:rPr>
        <w:t>Planning for Bushfire Protection</w:t>
      </w:r>
      <w:r>
        <w:rPr>
          <w:szCs w:val="22"/>
        </w:rPr>
        <w:t xml:space="preserve"> 2006.</w:t>
      </w:r>
    </w:p>
    <w:p w:rsidR="00596A0B" w:rsidRPr="00EF771C" w:rsidRDefault="00596A0B" w:rsidP="00596A0B">
      <w:pPr>
        <w:rPr>
          <w:u w:val="single"/>
        </w:rPr>
      </w:pPr>
      <w:r w:rsidRPr="00EF771C">
        <w:rPr>
          <w:u w:val="single"/>
        </w:rPr>
        <w:t>Public exhibition</w:t>
      </w:r>
    </w:p>
    <w:p w:rsidR="00596A0B" w:rsidRPr="00EF771C" w:rsidRDefault="00596A0B" w:rsidP="00596A0B">
      <w:pPr>
        <w:rPr>
          <w:szCs w:val="22"/>
        </w:rPr>
      </w:pPr>
      <w:r w:rsidRPr="00EF771C">
        <w:t>Public exhibition of the Planning Proposal occurred between 1</w:t>
      </w:r>
      <w:r>
        <w:t>4</w:t>
      </w:r>
      <w:r w:rsidRPr="00EF771C">
        <w:t xml:space="preserve"> </w:t>
      </w:r>
      <w:r>
        <w:t>May</w:t>
      </w:r>
      <w:r w:rsidRPr="00EF771C">
        <w:t xml:space="preserve"> to </w:t>
      </w:r>
      <w:r>
        <w:t>30</w:t>
      </w:r>
      <w:r w:rsidRPr="00EF771C">
        <w:t xml:space="preserve"> </w:t>
      </w:r>
      <w:r>
        <w:t>May</w:t>
      </w:r>
      <w:r w:rsidRPr="00EF771C">
        <w:t xml:space="preserve"> 201</w:t>
      </w:r>
      <w:r w:rsidR="00474B9C">
        <w:t>6</w:t>
      </w:r>
      <w:r w:rsidRPr="00EF771C">
        <w:t xml:space="preserve">.  </w:t>
      </w:r>
      <w:r w:rsidRPr="00EF771C">
        <w:rPr>
          <w:szCs w:val="22"/>
        </w:rPr>
        <w:t xml:space="preserve">Council received no </w:t>
      </w:r>
      <w:r>
        <w:rPr>
          <w:szCs w:val="22"/>
        </w:rPr>
        <w:t xml:space="preserve">public </w:t>
      </w:r>
      <w:r w:rsidRPr="00EF771C">
        <w:rPr>
          <w:szCs w:val="22"/>
        </w:rPr>
        <w:t xml:space="preserve">submissions on the Planning Proposal. </w:t>
      </w:r>
    </w:p>
    <w:p w:rsidR="00596A0B" w:rsidRPr="00EF771C" w:rsidRDefault="00596A0B" w:rsidP="00596A0B">
      <w:pPr>
        <w:spacing w:before="160"/>
        <w:rPr>
          <w:b/>
          <w:szCs w:val="20"/>
        </w:rPr>
      </w:pPr>
      <w:r w:rsidRPr="00EF771C">
        <w:rPr>
          <w:b/>
          <w:szCs w:val="20"/>
        </w:rPr>
        <w:t>Implications:</w:t>
      </w:r>
    </w:p>
    <w:p w:rsidR="00596A0B" w:rsidRDefault="00596A0B" w:rsidP="00596A0B">
      <w:pPr>
        <w:rPr>
          <w:rFonts w:ascii="Arial Bold" w:hAnsi="Arial Bold"/>
          <w:b/>
          <w:i/>
          <w:szCs w:val="22"/>
        </w:rPr>
      </w:pPr>
      <w:r w:rsidRPr="00EF771C">
        <w:rPr>
          <w:rFonts w:ascii="Arial Bold" w:hAnsi="Arial Bold"/>
          <w:b/>
          <w:i/>
          <w:szCs w:val="22"/>
        </w:rPr>
        <w:t>Policy Implications:</w:t>
      </w:r>
    </w:p>
    <w:p w:rsidR="00474B9C" w:rsidRDefault="00474B9C" w:rsidP="00474B9C">
      <w:pPr>
        <w:autoSpaceDE w:val="0"/>
        <w:autoSpaceDN w:val="0"/>
        <w:adjustRightInd w:val="0"/>
        <w:spacing w:after="0"/>
        <w:rPr>
          <w:rFonts w:cs="Arial"/>
          <w:szCs w:val="22"/>
        </w:rPr>
      </w:pPr>
      <w:r>
        <w:rPr>
          <w:rFonts w:cs="Arial"/>
          <w:szCs w:val="22"/>
        </w:rPr>
        <w:t>The Planning Proposal is consistent with all relevant policies and planning strategies.</w:t>
      </w:r>
    </w:p>
    <w:p w:rsidR="00474B9C" w:rsidRDefault="00474B9C" w:rsidP="00474B9C">
      <w:pPr>
        <w:autoSpaceDE w:val="0"/>
        <w:autoSpaceDN w:val="0"/>
        <w:adjustRightInd w:val="0"/>
        <w:spacing w:after="0"/>
        <w:rPr>
          <w:rFonts w:cs="Arial"/>
          <w:szCs w:val="22"/>
        </w:rPr>
      </w:pPr>
    </w:p>
    <w:p w:rsidR="00474B9C" w:rsidRDefault="00474B9C" w:rsidP="00474B9C">
      <w:pPr>
        <w:autoSpaceDE w:val="0"/>
        <w:autoSpaceDN w:val="0"/>
        <w:adjustRightInd w:val="0"/>
        <w:spacing w:after="0"/>
        <w:rPr>
          <w:rFonts w:cs="Arial"/>
          <w:szCs w:val="22"/>
          <w:u w:val="single"/>
        </w:rPr>
      </w:pPr>
      <w:r w:rsidRPr="00E00492">
        <w:rPr>
          <w:rFonts w:cs="Arial"/>
          <w:szCs w:val="22"/>
          <w:u w:val="single"/>
        </w:rPr>
        <w:t>Lake Macquarie Local Environmental Plan 2014 (LMLEP 2014)</w:t>
      </w:r>
    </w:p>
    <w:p w:rsidR="00474B9C" w:rsidRPr="00E00492" w:rsidRDefault="00474B9C" w:rsidP="00474B9C">
      <w:pPr>
        <w:autoSpaceDE w:val="0"/>
        <w:autoSpaceDN w:val="0"/>
        <w:adjustRightInd w:val="0"/>
        <w:spacing w:after="0"/>
        <w:rPr>
          <w:rFonts w:cs="Arial"/>
          <w:szCs w:val="22"/>
          <w:u w:val="single"/>
        </w:rPr>
      </w:pPr>
    </w:p>
    <w:p w:rsidR="00474B9C" w:rsidRDefault="00474B9C" w:rsidP="00474B9C">
      <w:pPr>
        <w:autoSpaceDE w:val="0"/>
        <w:autoSpaceDN w:val="0"/>
        <w:adjustRightInd w:val="0"/>
        <w:spacing w:after="0"/>
        <w:rPr>
          <w:rFonts w:cs="Arial"/>
          <w:szCs w:val="22"/>
        </w:rPr>
      </w:pPr>
      <w:r>
        <w:rPr>
          <w:rFonts w:cs="Arial"/>
          <w:szCs w:val="22"/>
        </w:rPr>
        <w:t xml:space="preserve">The Planning Proposal will amend LMLEP 2014 as outlined in the </w:t>
      </w:r>
      <w:r>
        <w:rPr>
          <w:rFonts w:cs="Arial"/>
          <w:i/>
          <w:iCs/>
          <w:szCs w:val="22"/>
        </w:rPr>
        <w:t xml:space="preserve">Background </w:t>
      </w:r>
      <w:r>
        <w:rPr>
          <w:rFonts w:cs="Arial"/>
          <w:szCs w:val="22"/>
        </w:rPr>
        <w:t>and</w:t>
      </w:r>
    </w:p>
    <w:p w:rsidR="00474B9C" w:rsidRDefault="00474B9C" w:rsidP="00474B9C">
      <w:pPr>
        <w:autoSpaceDE w:val="0"/>
        <w:autoSpaceDN w:val="0"/>
        <w:adjustRightInd w:val="0"/>
        <w:spacing w:after="0"/>
        <w:rPr>
          <w:rFonts w:cs="Arial"/>
          <w:szCs w:val="22"/>
        </w:rPr>
      </w:pPr>
      <w:r>
        <w:rPr>
          <w:rFonts w:cs="Arial"/>
          <w:i/>
          <w:iCs/>
          <w:szCs w:val="22"/>
        </w:rPr>
        <w:t xml:space="preserve">Proposal </w:t>
      </w:r>
      <w:r>
        <w:rPr>
          <w:rFonts w:cs="Arial"/>
          <w:szCs w:val="22"/>
        </w:rPr>
        <w:t>section of this report and as outlined in the Planning Proposal contained in</w:t>
      </w:r>
    </w:p>
    <w:p w:rsidR="00474B9C" w:rsidRDefault="00474B9C" w:rsidP="00474B9C">
      <w:pPr>
        <w:autoSpaceDE w:val="0"/>
        <w:autoSpaceDN w:val="0"/>
        <w:adjustRightInd w:val="0"/>
        <w:spacing w:after="0"/>
        <w:rPr>
          <w:rFonts w:cs="Arial"/>
          <w:szCs w:val="22"/>
        </w:rPr>
      </w:pPr>
      <w:r>
        <w:rPr>
          <w:rFonts w:cs="Arial"/>
          <w:szCs w:val="22"/>
        </w:rPr>
        <w:t>Attachment 1.</w:t>
      </w:r>
    </w:p>
    <w:p w:rsidR="00474B9C" w:rsidRDefault="00474B9C" w:rsidP="00474B9C">
      <w:pPr>
        <w:autoSpaceDE w:val="0"/>
        <w:autoSpaceDN w:val="0"/>
        <w:adjustRightInd w:val="0"/>
        <w:spacing w:after="0"/>
        <w:rPr>
          <w:rFonts w:cs="Arial"/>
          <w:szCs w:val="22"/>
        </w:rPr>
      </w:pPr>
    </w:p>
    <w:p w:rsidR="00474B9C" w:rsidRDefault="00474B9C" w:rsidP="00474B9C">
      <w:pPr>
        <w:autoSpaceDE w:val="0"/>
        <w:autoSpaceDN w:val="0"/>
        <w:adjustRightInd w:val="0"/>
        <w:spacing w:after="0"/>
        <w:rPr>
          <w:rFonts w:cs="Arial"/>
          <w:szCs w:val="22"/>
          <w:u w:val="single"/>
        </w:rPr>
      </w:pPr>
      <w:r w:rsidRPr="00E00492">
        <w:rPr>
          <w:rFonts w:cs="Arial"/>
          <w:szCs w:val="22"/>
          <w:u w:val="single"/>
        </w:rPr>
        <w:t>Lifestyle 2030 Strategy</w:t>
      </w:r>
      <w:r>
        <w:rPr>
          <w:rFonts w:cs="Arial"/>
          <w:szCs w:val="22"/>
          <w:u w:val="single"/>
        </w:rPr>
        <w:t xml:space="preserve"> (LS2030)</w:t>
      </w:r>
    </w:p>
    <w:p w:rsidR="00474B9C" w:rsidRDefault="00474B9C" w:rsidP="00474B9C">
      <w:pPr>
        <w:autoSpaceDE w:val="0"/>
        <w:autoSpaceDN w:val="0"/>
        <w:adjustRightInd w:val="0"/>
        <w:spacing w:after="0"/>
        <w:rPr>
          <w:rFonts w:cs="Arial"/>
          <w:szCs w:val="22"/>
          <w:u w:val="single"/>
        </w:rPr>
      </w:pPr>
    </w:p>
    <w:p w:rsidR="00474B9C" w:rsidRDefault="00474B9C" w:rsidP="00474B9C">
      <w:pPr>
        <w:autoSpaceDE w:val="0"/>
        <w:autoSpaceDN w:val="0"/>
        <w:adjustRightInd w:val="0"/>
        <w:spacing w:after="0"/>
        <w:rPr>
          <w:szCs w:val="22"/>
        </w:rPr>
      </w:pPr>
      <w:r>
        <w:rPr>
          <w:szCs w:val="22"/>
        </w:rPr>
        <w:t>Council’s LS2030 Strategy identifies that adequate and appropriate biodiversity offsets will be critical in offsetting the cumulative impacts of clearing and biodiversity losses associated with development proposed under the LS2030. The planning proposal is consistent with this</w:t>
      </w:r>
      <w:r w:rsidR="005C0DCE">
        <w:rPr>
          <w:szCs w:val="22"/>
        </w:rPr>
        <w:t xml:space="preserve"> outcome</w:t>
      </w:r>
      <w:r>
        <w:rPr>
          <w:szCs w:val="22"/>
        </w:rPr>
        <w:t>, in helping to achieve appropriate offsets identified for future development areas.</w:t>
      </w:r>
    </w:p>
    <w:p w:rsidR="00474B9C" w:rsidRDefault="00474B9C" w:rsidP="00474B9C">
      <w:pPr>
        <w:autoSpaceDE w:val="0"/>
        <w:autoSpaceDN w:val="0"/>
        <w:adjustRightInd w:val="0"/>
        <w:spacing w:after="0"/>
        <w:rPr>
          <w:szCs w:val="22"/>
        </w:rPr>
      </w:pPr>
    </w:p>
    <w:p w:rsidR="00474B9C" w:rsidRDefault="00474B9C" w:rsidP="00474B9C">
      <w:pPr>
        <w:pStyle w:val="Default"/>
        <w:rPr>
          <w:sz w:val="22"/>
          <w:szCs w:val="22"/>
          <w:u w:val="single"/>
        </w:rPr>
      </w:pPr>
      <w:r w:rsidRPr="00E00492">
        <w:rPr>
          <w:sz w:val="22"/>
          <w:szCs w:val="22"/>
          <w:u w:val="single"/>
        </w:rPr>
        <w:t xml:space="preserve">Biodiversity Planning Policy and Guidelines for (LEP) Rezoning Proposals </w:t>
      </w:r>
    </w:p>
    <w:p w:rsidR="00474B9C" w:rsidRPr="00E00492" w:rsidRDefault="00474B9C" w:rsidP="00474B9C">
      <w:pPr>
        <w:pStyle w:val="Default"/>
        <w:rPr>
          <w:sz w:val="22"/>
          <w:szCs w:val="22"/>
          <w:u w:val="single"/>
        </w:rPr>
      </w:pPr>
    </w:p>
    <w:p w:rsidR="00474B9C" w:rsidRDefault="00474B9C" w:rsidP="00474B9C">
      <w:pPr>
        <w:autoSpaceDE w:val="0"/>
        <w:autoSpaceDN w:val="0"/>
        <w:adjustRightInd w:val="0"/>
        <w:spacing w:after="0"/>
        <w:rPr>
          <w:rFonts w:cs="Arial"/>
          <w:szCs w:val="22"/>
        </w:rPr>
      </w:pPr>
      <w:r>
        <w:rPr>
          <w:szCs w:val="22"/>
        </w:rPr>
        <w:t xml:space="preserve">Council has an adopted Biodiversity Planning Policy and Guidelines for (LEP) Rezoning proposals. This Policy contains a number of principles to achieve a strategic approach to biodiversity planning and contains criteria when offsets may be considered. The </w:t>
      </w:r>
      <w:r w:rsidRPr="003372E0">
        <w:rPr>
          <w:szCs w:val="22"/>
        </w:rPr>
        <w:t>proposed</w:t>
      </w:r>
      <w:r w:rsidRPr="003372E0">
        <w:rPr>
          <w:rFonts w:cs="Arial"/>
          <w:szCs w:val="22"/>
        </w:rPr>
        <w:t xml:space="preserve"> changes</w:t>
      </w:r>
      <w:r>
        <w:rPr>
          <w:rFonts w:cs="Arial"/>
          <w:szCs w:val="22"/>
        </w:rPr>
        <w:t xml:space="preserve"> to the LEP will help facilitate biodiversity offsets to mitigate losses from development in accordance with these Guidelines.</w:t>
      </w:r>
    </w:p>
    <w:p w:rsidR="00474B9C" w:rsidRPr="00E00492" w:rsidRDefault="00474B9C" w:rsidP="00474B9C">
      <w:pPr>
        <w:autoSpaceDE w:val="0"/>
        <w:autoSpaceDN w:val="0"/>
        <w:adjustRightInd w:val="0"/>
        <w:spacing w:after="0"/>
        <w:rPr>
          <w:rFonts w:cs="Arial"/>
          <w:szCs w:val="22"/>
          <w:u w:val="single"/>
        </w:rPr>
      </w:pPr>
    </w:p>
    <w:p w:rsidR="00474B9C" w:rsidRDefault="00474B9C" w:rsidP="00474B9C">
      <w:pPr>
        <w:autoSpaceDE w:val="0"/>
        <w:autoSpaceDN w:val="0"/>
        <w:adjustRightInd w:val="0"/>
        <w:spacing w:after="0"/>
        <w:rPr>
          <w:rFonts w:cs="Arial"/>
          <w:szCs w:val="22"/>
          <w:u w:val="single"/>
        </w:rPr>
      </w:pPr>
      <w:r w:rsidRPr="00E00492">
        <w:rPr>
          <w:rFonts w:cs="Arial"/>
          <w:szCs w:val="22"/>
          <w:u w:val="single"/>
        </w:rPr>
        <w:t>Lower Hunter Regional Strategy</w:t>
      </w:r>
    </w:p>
    <w:p w:rsidR="00474B9C" w:rsidRDefault="00474B9C" w:rsidP="00474B9C">
      <w:pPr>
        <w:autoSpaceDE w:val="0"/>
        <w:autoSpaceDN w:val="0"/>
        <w:adjustRightInd w:val="0"/>
        <w:spacing w:after="0"/>
        <w:rPr>
          <w:rFonts w:cs="Arial"/>
          <w:szCs w:val="22"/>
          <w:u w:val="single"/>
        </w:rPr>
      </w:pPr>
    </w:p>
    <w:p w:rsidR="00474B9C" w:rsidRDefault="00474B9C" w:rsidP="00474B9C">
      <w:pPr>
        <w:autoSpaceDE w:val="0"/>
        <w:autoSpaceDN w:val="0"/>
        <w:adjustRightInd w:val="0"/>
        <w:spacing w:after="0"/>
        <w:rPr>
          <w:szCs w:val="22"/>
        </w:rPr>
      </w:pPr>
      <w:r>
        <w:rPr>
          <w:szCs w:val="22"/>
        </w:rPr>
        <w:lastRenderedPageBreak/>
        <w:t>The Lower Hunter Regional Strategy recognises the role of improving and maintaining the region’s biodiversity and identifies the need for the Lower Hunter Region Conservation Plan.</w:t>
      </w:r>
    </w:p>
    <w:p w:rsidR="00474B9C" w:rsidRDefault="00474B9C" w:rsidP="00474B9C">
      <w:pPr>
        <w:autoSpaceDE w:val="0"/>
        <w:autoSpaceDN w:val="0"/>
        <w:adjustRightInd w:val="0"/>
        <w:spacing w:after="0"/>
        <w:rPr>
          <w:szCs w:val="22"/>
        </w:rPr>
      </w:pPr>
    </w:p>
    <w:p w:rsidR="00474B9C" w:rsidRDefault="00474B9C" w:rsidP="00474B9C">
      <w:pPr>
        <w:pStyle w:val="Default"/>
        <w:rPr>
          <w:sz w:val="22"/>
          <w:szCs w:val="22"/>
          <w:u w:val="single"/>
        </w:rPr>
      </w:pPr>
      <w:r w:rsidRPr="00E00492">
        <w:rPr>
          <w:sz w:val="22"/>
          <w:szCs w:val="22"/>
          <w:u w:val="single"/>
        </w:rPr>
        <w:t xml:space="preserve">Lower Hunter Regional Conservation Plan (LHRCP) </w:t>
      </w:r>
    </w:p>
    <w:p w:rsidR="00474B9C" w:rsidRPr="00E00492" w:rsidRDefault="00474B9C" w:rsidP="00474B9C">
      <w:pPr>
        <w:pStyle w:val="Default"/>
        <w:rPr>
          <w:sz w:val="22"/>
          <w:szCs w:val="22"/>
          <w:u w:val="single"/>
        </w:rPr>
      </w:pPr>
    </w:p>
    <w:p w:rsidR="00474B9C" w:rsidRDefault="00474B9C" w:rsidP="00474B9C">
      <w:pPr>
        <w:autoSpaceDE w:val="0"/>
        <w:autoSpaceDN w:val="0"/>
        <w:adjustRightInd w:val="0"/>
        <w:spacing w:after="0"/>
        <w:rPr>
          <w:rFonts w:cs="Arial"/>
          <w:szCs w:val="22"/>
          <w:u w:val="single"/>
        </w:rPr>
      </w:pPr>
      <w:r>
        <w:rPr>
          <w:szCs w:val="22"/>
        </w:rPr>
        <w:t>The LHRCP identifies Biodiversity Banking and Offsets Scheme (BioBanking) mechanisms and planning agreements as methods for achieving offsets and identifies a number of offset principles. The LHRCP identifies future proposed developments in the Lower Hunter will be assessed against current legislation and that impacts to biodiversity should be first avoided or mitigated, but where appropriate, the Government will consider offsetting by entering into planning agreements with the developer. Ensuring that sites can be subdivided for biodiversity offsets is consistent with the LHRCP.</w:t>
      </w:r>
    </w:p>
    <w:p w:rsidR="00474B9C" w:rsidRPr="00E00492" w:rsidRDefault="00474B9C" w:rsidP="00474B9C">
      <w:pPr>
        <w:autoSpaceDE w:val="0"/>
        <w:autoSpaceDN w:val="0"/>
        <w:adjustRightInd w:val="0"/>
        <w:spacing w:after="0"/>
        <w:rPr>
          <w:rFonts w:cs="Arial"/>
          <w:szCs w:val="22"/>
          <w:u w:val="single"/>
        </w:rPr>
      </w:pPr>
    </w:p>
    <w:p w:rsidR="00474B9C" w:rsidRDefault="00474B9C" w:rsidP="00474B9C">
      <w:pPr>
        <w:autoSpaceDE w:val="0"/>
        <w:autoSpaceDN w:val="0"/>
        <w:adjustRightInd w:val="0"/>
        <w:spacing w:after="0"/>
        <w:rPr>
          <w:rFonts w:cs="Arial"/>
          <w:szCs w:val="22"/>
          <w:u w:val="single"/>
        </w:rPr>
      </w:pPr>
      <w:r w:rsidRPr="00E00492">
        <w:rPr>
          <w:rFonts w:cs="Arial"/>
          <w:szCs w:val="22"/>
          <w:u w:val="single"/>
        </w:rPr>
        <w:t>State Environmental Planning Policies (SEPPs)</w:t>
      </w:r>
    </w:p>
    <w:p w:rsidR="00474B9C" w:rsidRPr="00E00492" w:rsidRDefault="00474B9C" w:rsidP="00474B9C">
      <w:pPr>
        <w:autoSpaceDE w:val="0"/>
        <w:autoSpaceDN w:val="0"/>
        <w:adjustRightInd w:val="0"/>
        <w:spacing w:after="0"/>
        <w:rPr>
          <w:rFonts w:cs="Arial"/>
          <w:szCs w:val="22"/>
          <w:u w:val="single"/>
        </w:rPr>
      </w:pPr>
    </w:p>
    <w:p w:rsidR="00474B9C" w:rsidRDefault="00474B9C" w:rsidP="00474B9C">
      <w:pPr>
        <w:autoSpaceDE w:val="0"/>
        <w:autoSpaceDN w:val="0"/>
        <w:adjustRightInd w:val="0"/>
        <w:spacing w:after="0"/>
        <w:rPr>
          <w:rFonts w:cs="Arial"/>
          <w:szCs w:val="22"/>
        </w:rPr>
      </w:pPr>
      <w:r>
        <w:rPr>
          <w:rFonts w:cs="Arial"/>
          <w:szCs w:val="22"/>
        </w:rPr>
        <w:t>An assessment of the proposal against relevant SEPPs is included in the Planning</w:t>
      </w:r>
    </w:p>
    <w:p w:rsidR="00474B9C" w:rsidRDefault="00474B9C" w:rsidP="00474B9C">
      <w:pPr>
        <w:autoSpaceDE w:val="0"/>
        <w:autoSpaceDN w:val="0"/>
        <w:adjustRightInd w:val="0"/>
        <w:spacing w:after="0"/>
        <w:rPr>
          <w:rFonts w:cs="Arial"/>
          <w:szCs w:val="22"/>
        </w:rPr>
      </w:pPr>
      <w:r>
        <w:rPr>
          <w:rFonts w:cs="Arial"/>
          <w:szCs w:val="22"/>
        </w:rPr>
        <w:t>Proposal in Attachment 1. The proposal is consistent with the provisions of relevant</w:t>
      </w:r>
    </w:p>
    <w:p w:rsidR="00474B9C" w:rsidRDefault="00474B9C" w:rsidP="00474B9C">
      <w:pPr>
        <w:rPr>
          <w:rFonts w:cs="Arial"/>
          <w:szCs w:val="22"/>
        </w:rPr>
      </w:pPr>
      <w:r>
        <w:rPr>
          <w:rFonts w:cs="Arial"/>
          <w:szCs w:val="22"/>
        </w:rPr>
        <w:t>SEPPs.</w:t>
      </w:r>
    </w:p>
    <w:p w:rsidR="00474B9C" w:rsidRDefault="00474B9C" w:rsidP="00474B9C">
      <w:pPr>
        <w:autoSpaceDE w:val="0"/>
        <w:autoSpaceDN w:val="0"/>
        <w:adjustRightInd w:val="0"/>
        <w:spacing w:after="0"/>
        <w:rPr>
          <w:rFonts w:cs="Arial"/>
          <w:szCs w:val="22"/>
          <w:u w:val="single"/>
        </w:rPr>
      </w:pPr>
      <w:r w:rsidRPr="00E00492">
        <w:rPr>
          <w:rFonts w:cs="Arial"/>
          <w:szCs w:val="22"/>
          <w:u w:val="single"/>
        </w:rPr>
        <w:t>Section 117 Ministerial Directions</w:t>
      </w:r>
    </w:p>
    <w:p w:rsidR="00474B9C" w:rsidRPr="00E00492" w:rsidRDefault="00474B9C" w:rsidP="00474B9C">
      <w:pPr>
        <w:autoSpaceDE w:val="0"/>
        <w:autoSpaceDN w:val="0"/>
        <w:adjustRightInd w:val="0"/>
        <w:spacing w:after="0"/>
        <w:rPr>
          <w:rFonts w:cs="Arial"/>
          <w:szCs w:val="22"/>
          <w:u w:val="single"/>
        </w:rPr>
      </w:pPr>
    </w:p>
    <w:p w:rsidR="00474B9C" w:rsidRPr="007B6820" w:rsidRDefault="00474B9C" w:rsidP="00474B9C">
      <w:pPr>
        <w:autoSpaceDE w:val="0"/>
        <w:autoSpaceDN w:val="0"/>
        <w:adjustRightInd w:val="0"/>
        <w:spacing w:after="0"/>
        <w:rPr>
          <w:szCs w:val="22"/>
          <w:lang w:val="en-GB"/>
        </w:rPr>
      </w:pPr>
      <w:r>
        <w:rPr>
          <w:rFonts w:cs="Arial"/>
          <w:szCs w:val="22"/>
        </w:rPr>
        <w:t>An assessment of the proposal against relevant Ministerial Directions is included in the Planning Proposal in Attachment 1. The proposal is consistent with all the relevant Ministerial Directions.</w:t>
      </w:r>
    </w:p>
    <w:p w:rsidR="00474B9C" w:rsidRDefault="00474B9C" w:rsidP="00596A0B">
      <w:pPr>
        <w:rPr>
          <w:szCs w:val="22"/>
          <w:u w:val="single"/>
          <w:lang w:val="en-GB"/>
        </w:rPr>
      </w:pPr>
    </w:p>
    <w:p w:rsidR="00596A0B" w:rsidRDefault="00596A0B" w:rsidP="00596A0B">
      <w:pPr>
        <w:rPr>
          <w:rFonts w:ascii="Arial Bold" w:hAnsi="Arial Bold"/>
          <w:b/>
          <w:i/>
          <w:szCs w:val="22"/>
        </w:rPr>
      </w:pPr>
      <w:r w:rsidRPr="00EF771C">
        <w:rPr>
          <w:rFonts w:ascii="Arial Bold" w:hAnsi="Arial Bold"/>
          <w:b/>
          <w:i/>
          <w:szCs w:val="22"/>
        </w:rPr>
        <w:t>Environmental Implications:</w:t>
      </w:r>
    </w:p>
    <w:p w:rsidR="00474B9C" w:rsidRDefault="00474B9C" w:rsidP="00474B9C">
      <w:pPr>
        <w:rPr>
          <w:szCs w:val="22"/>
          <w:lang w:val="en-GB"/>
        </w:rPr>
      </w:pPr>
      <w:r>
        <w:rPr>
          <w:szCs w:val="22"/>
        </w:rPr>
        <w:t>The planning proposal will not negatively impact on habitat, threatened species, population or ecological communities. The planning proposal will allow for the subdivision of biodiversity offsets needed to mitigate the impacts from rezoning and development applications in accordance with the regulatory framework governing biodiversity offsets. Biodiversity offsets help achieve long-term conservation outcomes where development and infrastructure projects are likely to impact biodiversity.</w:t>
      </w:r>
    </w:p>
    <w:p w:rsidR="00596A0B" w:rsidRDefault="00596A0B" w:rsidP="00596A0B">
      <w:pPr>
        <w:rPr>
          <w:rFonts w:ascii="Arial Bold" w:hAnsi="Arial Bold"/>
          <w:b/>
          <w:i/>
          <w:szCs w:val="22"/>
        </w:rPr>
      </w:pPr>
      <w:r w:rsidRPr="00EF771C">
        <w:rPr>
          <w:rFonts w:ascii="Arial Bold" w:hAnsi="Arial Bold"/>
          <w:b/>
          <w:i/>
          <w:szCs w:val="22"/>
        </w:rPr>
        <w:t>Social Implications:</w:t>
      </w:r>
    </w:p>
    <w:p w:rsidR="00474B9C" w:rsidRPr="007B6820" w:rsidRDefault="00474B9C" w:rsidP="00474B9C">
      <w:pPr>
        <w:rPr>
          <w:color w:val="0000FF"/>
          <w:sz w:val="20"/>
        </w:rPr>
      </w:pPr>
      <w:bookmarkStart w:id="1" w:name="LMCCSocial1"/>
      <w:r>
        <w:rPr>
          <w:szCs w:val="22"/>
        </w:rPr>
        <w:t>There are no social implications associated with this change to the LMLEP 2014. The planning proposal will facilitate rezoning, subdivision and development on land through the creation of biodiversity offset sites and satisfying relevant legislative provisions.</w:t>
      </w:r>
    </w:p>
    <w:bookmarkEnd w:id="1"/>
    <w:p w:rsidR="00596A0B" w:rsidRPr="00EF771C" w:rsidRDefault="00596A0B" w:rsidP="00596A0B">
      <w:pPr>
        <w:rPr>
          <w:rFonts w:ascii="Arial Bold" w:hAnsi="Arial Bold"/>
          <w:b/>
          <w:i/>
          <w:szCs w:val="22"/>
          <w:lang w:val="en-GB"/>
        </w:rPr>
      </w:pPr>
      <w:r w:rsidRPr="00EF771C">
        <w:rPr>
          <w:rFonts w:ascii="Arial Bold" w:hAnsi="Arial Bold"/>
          <w:b/>
          <w:i/>
          <w:szCs w:val="22"/>
          <w:lang w:val="en-GB"/>
        </w:rPr>
        <w:t>Infrastructure Asset Implications:</w:t>
      </w:r>
    </w:p>
    <w:p w:rsidR="00474B9C" w:rsidRDefault="00474B9C" w:rsidP="00474B9C">
      <w:pPr>
        <w:autoSpaceDE w:val="0"/>
        <w:autoSpaceDN w:val="0"/>
        <w:adjustRightInd w:val="0"/>
        <w:spacing w:after="0"/>
        <w:rPr>
          <w:rFonts w:cs="Arial"/>
          <w:szCs w:val="22"/>
        </w:rPr>
      </w:pPr>
      <w:r>
        <w:rPr>
          <w:rFonts w:cs="Arial"/>
          <w:szCs w:val="22"/>
        </w:rPr>
        <w:t>There will be no infrastructure asset implications, as the amendments to the LEP are</w:t>
      </w:r>
    </w:p>
    <w:p w:rsidR="00474B9C" w:rsidRDefault="00474B9C" w:rsidP="00596A0B">
      <w:pPr>
        <w:rPr>
          <w:lang w:val="en-GB"/>
        </w:rPr>
      </w:pPr>
      <w:r>
        <w:rPr>
          <w:rFonts w:cs="Arial"/>
          <w:szCs w:val="22"/>
        </w:rPr>
        <w:t>administrative.</w:t>
      </w:r>
    </w:p>
    <w:p w:rsidR="00596A0B" w:rsidRDefault="00596A0B" w:rsidP="00596A0B">
      <w:pPr>
        <w:rPr>
          <w:rFonts w:ascii="Arial Bold" w:hAnsi="Arial Bold"/>
          <w:b/>
          <w:i/>
          <w:szCs w:val="22"/>
        </w:rPr>
      </w:pPr>
      <w:r w:rsidRPr="00EF771C">
        <w:rPr>
          <w:rFonts w:ascii="Arial Bold" w:hAnsi="Arial Bold"/>
          <w:b/>
          <w:i/>
          <w:szCs w:val="22"/>
        </w:rPr>
        <w:t>Financial Implications:</w:t>
      </w:r>
    </w:p>
    <w:p w:rsidR="00474B9C" w:rsidRDefault="00474B9C" w:rsidP="00474B9C">
      <w:pPr>
        <w:autoSpaceDE w:val="0"/>
        <w:autoSpaceDN w:val="0"/>
        <w:adjustRightInd w:val="0"/>
        <w:spacing w:after="0"/>
        <w:rPr>
          <w:rFonts w:cs="Arial"/>
          <w:szCs w:val="22"/>
        </w:rPr>
      </w:pPr>
      <w:r>
        <w:rPr>
          <w:rFonts w:cs="Arial"/>
          <w:szCs w:val="22"/>
        </w:rPr>
        <w:t>There will be no specific financial implications for Council apart from staff resources</w:t>
      </w:r>
    </w:p>
    <w:p w:rsidR="00474B9C" w:rsidRDefault="00474B9C" w:rsidP="00474B9C">
      <w:pPr>
        <w:autoSpaceDE w:val="0"/>
        <w:autoSpaceDN w:val="0"/>
        <w:adjustRightInd w:val="0"/>
        <w:spacing w:after="0"/>
        <w:rPr>
          <w:rFonts w:cs="Arial"/>
          <w:szCs w:val="22"/>
        </w:rPr>
      </w:pPr>
      <w:r>
        <w:rPr>
          <w:rFonts w:cs="Arial"/>
          <w:szCs w:val="22"/>
        </w:rPr>
        <w:t>involved in the processing of the LEP amendment in accordance with Council’s LEP</w:t>
      </w:r>
    </w:p>
    <w:p w:rsidR="00474B9C" w:rsidRPr="007B6820" w:rsidRDefault="00474B9C" w:rsidP="00474B9C">
      <w:r>
        <w:rPr>
          <w:rFonts w:cs="Arial"/>
          <w:szCs w:val="22"/>
        </w:rPr>
        <w:t>amendment process.</w:t>
      </w:r>
    </w:p>
    <w:p w:rsidR="00596A0B" w:rsidRDefault="00596A0B" w:rsidP="00596A0B">
      <w:pPr>
        <w:rPr>
          <w:rFonts w:ascii="Arial Bold" w:hAnsi="Arial Bold"/>
          <w:b/>
          <w:i/>
          <w:szCs w:val="22"/>
        </w:rPr>
      </w:pPr>
      <w:r w:rsidRPr="00EF771C">
        <w:rPr>
          <w:rFonts w:ascii="Arial Bold" w:hAnsi="Arial Bold"/>
          <w:b/>
          <w:i/>
          <w:szCs w:val="22"/>
        </w:rPr>
        <w:t>Risk and Insurance Implications:</w:t>
      </w:r>
    </w:p>
    <w:p w:rsidR="00EF6823" w:rsidRDefault="00EF6823" w:rsidP="00EF6823">
      <w:pPr>
        <w:autoSpaceDE w:val="0"/>
        <w:autoSpaceDN w:val="0"/>
        <w:adjustRightInd w:val="0"/>
        <w:spacing w:after="0"/>
        <w:rPr>
          <w:rFonts w:cs="Arial"/>
          <w:szCs w:val="22"/>
        </w:rPr>
      </w:pPr>
      <w:r>
        <w:rPr>
          <w:rFonts w:cs="Arial"/>
          <w:szCs w:val="22"/>
        </w:rPr>
        <w:lastRenderedPageBreak/>
        <w:t>There is minimal risk or insurance implications to Council with the processing of this</w:t>
      </w:r>
    </w:p>
    <w:p w:rsidR="00EF6823" w:rsidRDefault="00EF6823" w:rsidP="00EF6823">
      <w:pPr>
        <w:autoSpaceDE w:val="0"/>
        <w:autoSpaceDN w:val="0"/>
        <w:adjustRightInd w:val="0"/>
        <w:spacing w:after="0"/>
        <w:rPr>
          <w:rFonts w:cs="Arial"/>
          <w:szCs w:val="22"/>
        </w:rPr>
      </w:pPr>
      <w:r>
        <w:rPr>
          <w:rFonts w:cs="Arial"/>
          <w:szCs w:val="22"/>
        </w:rPr>
        <w:t>amendment. The preparation of an amendment to LMLEP 2014 is a regular Council</w:t>
      </w:r>
    </w:p>
    <w:p w:rsidR="00EF6823" w:rsidRPr="007B6820" w:rsidRDefault="00EF6823" w:rsidP="00EF6823">
      <w:pPr>
        <w:autoSpaceDE w:val="0"/>
        <w:autoSpaceDN w:val="0"/>
        <w:adjustRightInd w:val="0"/>
        <w:spacing w:after="0"/>
      </w:pPr>
      <w:r>
        <w:rPr>
          <w:rFonts w:cs="Arial"/>
          <w:szCs w:val="22"/>
        </w:rPr>
        <w:t xml:space="preserve">activity governed by the provisions of the </w:t>
      </w:r>
      <w:r>
        <w:rPr>
          <w:rFonts w:cs="Arial"/>
          <w:i/>
          <w:iCs/>
          <w:szCs w:val="22"/>
        </w:rPr>
        <w:t>EP&amp;A Act 1979</w:t>
      </w:r>
      <w:r>
        <w:rPr>
          <w:rFonts w:cs="Arial"/>
          <w:szCs w:val="22"/>
        </w:rPr>
        <w:t xml:space="preserve">. The level of risk attached to this activity will be minimised through following the process as established by the </w:t>
      </w:r>
      <w:r>
        <w:rPr>
          <w:rFonts w:cs="Arial"/>
          <w:i/>
          <w:iCs/>
          <w:szCs w:val="22"/>
        </w:rPr>
        <w:t xml:space="preserve">EP&amp;A Act 1979 </w:t>
      </w:r>
      <w:r>
        <w:rPr>
          <w:rFonts w:cs="Arial"/>
          <w:szCs w:val="22"/>
        </w:rPr>
        <w:t>and Environmental Planning and Assessment Regulation 2000 as well as Council’s Amending Local Environmental Plan Procedure and Policy.</w:t>
      </w:r>
    </w:p>
    <w:p w:rsidR="00EF6823" w:rsidRPr="00EF771C" w:rsidRDefault="00EF6823" w:rsidP="00596A0B">
      <w:pPr>
        <w:rPr>
          <w:rFonts w:ascii="Arial Bold" w:hAnsi="Arial Bold"/>
          <w:b/>
          <w:i/>
          <w:szCs w:val="22"/>
        </w:rPr>
      </w:pPr>
    </w:p>
    <w:p w:rsidR="00596A0B" w:rsidRDefault="00596A0B" w:rsidP="00596A0B">
      <w:pPr>
        <w:spacing w:before="160"/>
        <w:rPr>
          <w:b/>
          <w:szCs w:val="20"/>
        </w:rPr>
      </w:pPr>
      <w:r w:rsidRPr="00EF771C">
        <w:rPr>
          <w:b/>
          <w:szCs w:val="20"/>
        </w:rPr>
        <w:t>Options:</w:t>
      </w:r>
    </w:p>
    <w:p w:rsidR="00596A0B" w:rsidRDefault="00596A0B" w:rsidP="00596A0B">
      <w:pPr>
        <w:spacing w:before="160"/>
        <w:rPr>
          <w:b/>
          <w:szCs w:val="20"/>
        </w:rPr>
      </w:pPr>
    </w:p>
    <w:p w:rsidR="00EF6823" w:rsidRPr="00EF6823" w:rsidRDefault="00777E48" w:rsidP="00596A0B">
      <w:pPr>
        <w:pStyle w:val="ListParagraph"/>
        <w:numPr>
          <w:ilvl w:val="0"/>
          <w:numId w:val="37"/>
        </w:numPr>
        <w:spacing w:before="160"/>
        <w:rPr>
          <w:b/>
          <w:szCs w:val="20"/>
        </w:rPr>
      </w:pPr>
      <w:r>
        <w:t xml:space="preserve">The Director of City Strategy </w:t>
      </w:r>
      <w:r w:rsidR="00596A0B" w:rsidRPr="000A0BC6">
        <w:t xml:space="preserve">exercises his Delegation of Authority </w:t>
      </w:r>
      <w:r w:rsidR="00596A0B">
        <w:t>and</w:t>
      </w:r>
      <w:r w:rsidR="00596A0B" w:rsidRPr="00EF771C">
        <w:t xml:space="preserve"> </w:t>
      </w:r>
      <w:r w:rsidR="00596A0B" w:rsidRPr="00EF771C">
        <w:rPr>
          <w:szCs w:val="22"/>
          <w:lang w:val="en-GB"/>
        </w:rPr>
        <w:t xml:space="preserve">exercises delegation </w:t>
      </w:r>
      <w:r w:rsidR="00596A0B">
        <w:rPr>
          <w:szCs w:val="22"/>
          <w:lang w:val="en-GB"/>
        </w:rPr>
        <w:t xml:space="preserve">from the Department of Planning </w:t>
      </w:r>
      <w:r w:rsidR="00EF6823">
        <w:rPr>
          <w:szCs w:val="22"/>
          <w:lang w:val="en-GB"/>
        </w:rPr>
        <w:t xml:space="preserve">and Environment </w:t>
      </w:r>
      <w:r w:rsidR="00596A0B" w:rsidRPr="00EF771C">
        <w:rPr>
          <w:szCs w:val="22"/>
          <w:lang w:val="en-GB"/>
        </w:rPr>
        <w:t xml:space="preserve">to make the LEP </w:t>
      </w:r>
      <w:r w:rsidR="00596A0B" w:rsidRPr="00EF771C">
        <w:rPr>
          <w:szCs w:val="22"/>
        </w:rPr>
        <w:t xml:space="preserve">on behalf of the Minister </w:t>
      </w:r>
      <w:r w:rsidR="00596A0B" w:rsidRPr="00EF771C">
        <w:t>for Planning</w:t>
      </w:r>
      <w:r w:rsidR="00EF6823">
        <w:t xml:space="preserve"> and Environment.</w:t>
      </w:r>
      <w:r w:rsidR="00596A0B" w:rsidRPr="000A0BC6">
        <w:t xml:space="preserve">  </w:t>
      </w:r>
      <w:r>
        <w:t xml:space="preserve">This will help </w:t>
      </w:r>
      <w:r>
        <w:rPr>
          <w:rFonts w:cs="Arial"/>
          <w:szCs w:val="22"/>
        </w:rPr>
        <w:t>facilitate biodiversity offsets sites that may be needed for some development and rezoning applications. This is the recommended option.</w:t>
      </w:r>
    </w:p>
    <w:p w:rsidR="00596A0B" w:rsidRPr="000A0BC6" w:rsidRDefault="00596A0B" w:rsidP="00596A0B">
      <w:pPr>
        <w:pStyle w:val="ListParagraph"/>
        <w:spacing w:before="160"/>
        <w:ind w:left="720" w:firstLine="0"/>
        <w:rPr>
          <w:b/>
          <w:szCs w:val="20"/>
        </w:rPr>
      </w:pPr>
    </w:p>
    <w:p w:rsidR="00596A0B" w:rsidRPr="000A0BC6" w:rsidRDefault="00596A0B" w:rsidP="00596A0B">
      <w:pPr>
        <w:pStyle w:val="ListParagraph"/>
        <w:numPr>
          <w:ilvl w:val="0"/>
          <w:numId w:val="37"/>
        </w:numPr>
        <w:spacing w:before="160"/>
        <w:rPr>
          <w:b/>
          <w:szCs w:val="20"/>
        </w:rPr>
      </w:pPr>
      <w:r w:rsidRPr="000A0BC6">
        <w:t xml:space="preserve">The </w:t>
      </w:r>
      <w:r w:rsidR="00777E48">
        <w:t xml:space="preserve">Director of City Strategy </w:t>
      </w:r>
      <w:r w:rsidRPr="000A0BC6">
        <w:t xml:space="preserve">direct staff to report the results of the exhibition process and the final Planning Proposal to Council for a resolution to </w:t>
      </w:r>
      <w:r>
        <w:t>make the plan</w:t>
      </w:r>
      <w:r w:rsidRPr="000A0BC6">
        <w:t xml:space="preserve">.  This is not the preferred option.  </w:t>
      </w:r>
      <w:r>
        <w:t>A</w:t>
      </w:r>
      <w:r w:rsidRPr="000A0BC6">
        <w:t xml:space="preserve"> report </w:t>
      </w:r>
      <w:r>
        <w:t xml:space="preserve">to Council </w:t>
      </w:r>
      <w:r w:rsidRPr="000A0BC6">
        <w:t>would delay t</w:t>
      </w:r>
      <w:r>
        <w:t>he completion of the project.</w:t>
      </w:r>
    </w:p>
    <w:p w:rsidR="00596A0B" w:rsidRPr="00EF771C" w:rsidRDefault="00596A0B" w:rsidP="00596A0B">
      <w:pPr>
        <w:spacing w:before="160"/>
        <w:rPr>
          <w:b/>
          <w:szCs w:val="20"/>
        </w:rPr>
      </w:pPr>
      <w:r w:rsidRPr="00EF771C">
        <w:rPr>
          <w:b/>
          <w:szCs w:val="20"/>
        </w:rPr>
        <w:t>Conclusion:</w:t>
      </w:r>
    </w:p>
    <w:p w:rsidR="00777E48" w:rsidRPr="007B6820" w:rsidRDefault="00777E48" w:rsidP="00777E48">
      <w:pPr>
        <w:autoSpaceDE w:val="0"/>
        <w:autoSpaceDN w:val="0"/>
        <w:adjustRightInd w:val="0"/>
        <w:spacing w:after="0"/>
        <w:rPr>
          <w:szCs w:val="22"/>
          <w:lang w:val="en-GB"/>
        </w:rPr>
      </w:pPr>
      <w:r>
        <w:rPr>
          <w:rFonts w:cs="Arial"/>
          <w:szCs w:val="22"/>
        </w:rPr>
        <w:t xml:space="preserve">It is recommended that </w:t>
      </w:r>
      <w:r w:rsidR="0073021B">
        <w:rPr>
          <w:rFonts w:cs="Arial"/>
          <w:szCs w:val="22"/>
        </w:rPr>
        <w:t xml:space="preserve">the Director of City Strategy </w:t>
      </w:r>
      <w:r w:rsidR="005C0DCE">
        <w:rPr>
          <w:rFonts w:cs="Arial"/>
          <w:szCs w:val="22"/>
        </w:rPr>
        <w:t xml:space="preserve">endorse the </w:t>
      </w:r>
      <w:r>
        <w:rPr>
          <w:rFonts w:cs="Arial"/>
          <w:szCs w:val="22"/>
        </w:rPr>
        <w:t>Planning Proposal as contained in</w:t>
      </w:r>
      <w:r w:rsidR="0073021B">
        <w:rPr>
          <w:rFonts w:cs="Arial"/>
          <w:szCs w:val="22"/>
        </w:rPr>
        <w:t xml:space="preserve"> </w:t>
      </w:r>
      <w:r>
        <w:rPr>
          <w:rFonts w:cs="Arial"/>
          <w:szCs w:val="22"/>
        </w:rPr>
        <w:t>Attachment 1</w:t>
      </w:r>
      <w:r w:rsidR="00FE48D8">
        <w:rPr>
          <w:rFonts w:cs="Arial"/>
          <w:szCs w:val="22"/>
        </w:rPr>
        <w:t>. Upon receipt of Parliamentary Counsel opinion, the plan will be made pursuant to the Minister’s delegated authority</w:t>
      </w:r>
      <w:r>
        <w:rPr>
          <w:rFonts w:cs="Arial"/>
          <w:szCs w:val="22"/>
        </w:rPr>
        <w:t xml:space="preserve"> to help facilitate offset sites. </w:t>
      </w:r>
    </w:p>
    <w:p w:rsidR="00596A0B" w:rsidRDefault="00596A0B" w:rsidP="00596A0B"/>
    <w:tbl>
      <w:tblPr>
        <w:tblStyle w:val="TableGrid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08"/>
        <w:gridCol w:w="4814"/>
      </w:tblGrid>
      <w:tr w:rsidR="00596A0B" w:rsidRPr="000A0BC6" w:rsidTr="00EA4D99">
        <w:tc>
          <w:tcPr>
            <w:tcW w:w="8522" w:type="dxa"/>
            <w:gridSpan w:val="2"/>
          </w:tcPr>
          <w:p w:rsidR="00596A0B" w:rsidRPr="001F5CBF" w:rsidRDefault="00596A0B" w:rsidP="00EA4D99">
            <w:pPr>
              <w:spacing w:before="160"/>
              <w:rPr>
                <w:b/>
                <w:szCs w:val="20"/>
              </w:rPr>
            </w:pPr>
            <w:r w:rsidRPr="001F5CBF">
              <w:rPr>
                <w:b/>
                <w:szCs w:val="20"/>
              </w:rPr>
              <w:t xml:space="preserve">Endorsement </w:t>
            </w:r>
          </w:p>
          <w:p w:rsidR="00596A0B" w:rsidRPr="000A0BC6" w:rsidRDefault="00596A0B" w:rsidP="00EA4D99">
            <w:r w:rsidRPr="000A0BC6">
              <w:t>I endorse this</w:t>
            </w:r>
            <w:r w:rsidR="0073021B">
              <w:t xml:space="preserve"> report, in accordance with </w:t>
            </w:r>
            <w:r w:rsidRPr="000A0BC6">
              <w:t>Delegation</w:t>
            </w:r>
            <w:r w:rsidR="0073021B">
              <w:t>s</w:t>
            </w:r>
            <w:r w:rsidRPr="000A0BC6">
              <w:t xml:space="preserve"> of Authority </w:t>
            </w:r>
            <w:r w:rsidRPr="00EF771C">
              <w:t xml:space="preserve">and </w:t>
            </w:r>
            <w:r w:rsidRPr="00EF771C">
              <w:rPr>
                <w:szCs w:val="22"/>
                <w:lang w:val="en-GB"/>
              </w:rPr>
              <w:t>exercise delegation</w:t>
            </w:r>
            <w:r>
              <w:rPr>
                <w:szCs w:val="22"/>
                <w:lang w:val="en-GB"/>
              </w:rPr>
              <w:t>s</w:t>
            </w:r>
            <w:r w:rsidRPr="00EF771C">
              <w:rPr>
                <w:szCs w:val="22"/>
                <w:lang w:val="en-GB"/>
              </w:rPr>
              <w:t xml:space="preserve"> to make the LEP </w:t>
            </w:r>
            <w:r w:rsidRPr="00EF771C">
              <w:rPr>
                <w:szCs w:val="22"/>
              </w:rPr>
              <w:t xml:space="preserve">on behalf of the Minister </w:t>
            </w:r>
            <w:r w:rsidRPr="00EF771C">
              <w:t>for Planning</w:t>
            </w:r>
            <w:r>
              <w:t xml:space="preserve"> in accordance with section 59 of the </w:t>
            </w:r>
            <w:r w:rsidRPr="006F388B">
              <w:rPr>
                <w:i/>
              </w:rPr>
              <w:t xml:space="preserve">Environmental Planning and Assessment Act </w:t>
            </w:r>
            <w:r>
              <w:t>1979</w:t>
            </w:r>
            <w:r w:rsidRPr="000A0BC6">
              <w:t>.</w:t>
            </w:r>
          </w:p>
          <w:p w:rsidR="00596A0B" w:rsidRPr="000A0BC6" w:rsidRDefault="00596A0B" w:rsidP="00EA4D99">
            <w:pPr>
              <w:rPr>
                <w:sz w:val="6"/>
                <w:szCs w:val="6"/>
              </w:rPr>
            </w:pPr>
          </w:p>
        </w:tc>
      </w:tr>
      <w:tr w:rsidR="00596A0B" w:rsidRPr="000A0BC6" w:rsidTr="00EA4D99">
        <w:tc>
          <w:tcPr>
            <w:tcW w:w="3708" w:type="dxa"/>
          </w:tcPr>
          <w:p w:rsidR="00596A0B" w:rsidRPr="000A0BC6" w:rsidRDefault="00596A0B" w:rsidP="00EA4D99">
            <w:pPr>
              <w:spacing w:after="0"/>
              <w:ind w:left="360"/>
              <w:rPr>
                <w:i/>
              </w:rPr>
            </w:pPr>
          </w:p>
          <w:p w:rsidR="00596A0B" w:rsidRDefault="00596A0B" w:rsidP="00EA4D99">
            <w:pPr>
              <w:spacing w:after="0"/>
              <w:ind w:left="360"/>
              <w:rPr>
                <w:i/>
              </w:rPr>
            </w:pPr>
            <w:r>
              <w:rPr>
                <w:i/>
              </w:rPr>
              <w:t>Tony Farrell</w:t>
            </w:r>
          </w:p>
          <w:p w:rsidR="00596A0B" w:rsidRPr="000A0BC6" w:rsidRDefault="00596A0B" w:rsidP="00EA4D99">
            <w:pPr>
              <w:spacing w:after="0"/>
              <w:ind w:left="360"/>
              <w:rPr>
                <w:i/>
              </w:rPr>
            </w:pPr>
            <w:r>
              <w:rPr>
                <w:i/>
              </w:rPr>
              <w:t>Director City Strategy</w:t>
            </w:r>
          </w:p>
          <w:p w:rsidR="00596A0B" w:rsidRDefault="00596A0B" w:rsidP="00EA4D99">
            <w:pPr>
              <w:spacing w:after="0"/>
              <w:ind w:left="360"/>
              <w:rPr>
                <w:i/>
              </w:rPr>
            </w:pPr>
            <w:smartTag w:uri="urn:schemas-microsoft-com:office:smarttags" w:element="place">
              <w:smartTag w:uri="urn:schemas-microsoft-com:office:smarttags" w:element="PlaceType">
                <w:r w:rsidRPr="000A0BC6">
                  <w:rPr>
                    <w:i/>
                  </w:rPr>
                  <w:t>Lake</w:t>
                </w:r>
              </w:smartTag>
              <w:r w:rsidRPr="000A0BC6">
                <w:rPr>
                  <w:i/>
                </w:rPr>
                <w:t xml:space="preserve"> </w:t>
              </w:r>
              <w:smartTag w:uri="urn:schemas-microsoft-com:office:smarttags" w:element="PlaceName">
                <w:r w:rsidRPr="000A0BC6">
                  <w:rPr>
                    <w:i/>
                  </w:rPr>
                  <w:t>Macquarie</w:t>
                </w:r>
              </w:smartTag>
              <w:r w:rsidRPr="000A0BC6">
                <w:rPr>
                  <w:i/>
                </w:rPr>
                <w:t xml:space="preserve"> </w:t>
              </w:r>
              <w:smartTag w:uri="urn:schemas-microsoft-com:office:smarttags" w:element="PlaceType">
                <w:r w:rsidRPr="000A0BC6">
                  <w:rPr>
                    <w:i/>
                  </w:rPr>
                  <w:t>City</w:t>
                </w:r>
              </w:smartTag>
            </w:smartTag>
            <w:r w:rsidRPr="000A0BC6">
              <w:rPr>
                <w:i/>
              </w:rPr>
              <w:t xml:space="preserve"> Council</w:t>
            </w:r>
          </w:p>
          <w:p w:rsidR="006F2EE4" w:rsidRDefault="006F2EE4" w:rsidP="00EA4D99">
            <w:pPr>
              <w:spacing w:after="0"/>
              <w:ind w:left="360"/>
              <w:rPr>
                <w:i/>
              </w:rPr>
            </w:pPr>
          </w:p>
          <w:p w:rsidR="006F2EE4" w:rsidRPr="000A0BC6" w:rsidRDefault="006F2EE4" w:rsidP="006F2EE4">
            <w:pPr>
              <w:spacing w:after="0"/>
              <w:rPr>
                <w:i/>
              </w:rPr>
            </w:pPr>
            <w:r>
              <w:rPr>
                <w:i/>
              </w:rPr>
              <w:t xml:space="preserve"> </w:t>
            </w:r>
            <w:r w:rsidRPr="000A0BC6">
              <w:rPr>
                <w:i/>
              </w:rPr>
              <w:t>Date:</w:t>
            </w:r>
            <w:r>
              <w:rPr>
                <w:i/>
              </w:rPr>
              <w:t xml:space="preserve"> 25 August 2016</w:t>
            </w:r>
          </w:p>
          <w:p w:rsidR="006F2EE4" w:rsidRPr="000A0BC6" w:rsidRDefault="006F2EE4" w:rsidP="00EA4D99">
            <w:pPr>
              <w:spacing w:after="0"/>
              <w:ind w:left="360"/>
              <w:rPr>
                <w:i/>
              </w:rPr>
            </w:pPr>
          </w:p>
        </w:tc>
        <w:tc>
          <w:tcPr>
            <w:tcW w:w="4814" w:type="dxa"/>
          </w:tcPr>
          <w:p w:rsidR="00596A0B" w:rsidRPr="000A0BC6" w:rsidRDefault="00596A0B" w:rsidP="00EA4D99">
            <w:pPr>
              <w:spacing w:after="0"/>
              <w:rPr>
                <w:i/>
                <w:sz w:val="6"/>
                <w:szCs w:val="6"/>
              </w:rPr>
            </w:pPr>
          </w:p>
          <w:p w:rsidR="00596A0B" w:rsidRPr="000A0BC6" w:rsidRDefault="00596A0B" w:rsidP="00EA4D99">
            <w:pPr>
              <w:spacing w:after="0"/>
              <w:rPr>
                <w:i/>
              </w:rPr>
            </w:pPr>
          </w:p>
          <w:p w:rsidR="0073021B" w:rsidRPr="000A0BC6" w:rsidRDefault="0073021B" w:rsidP="00EA4D99">
            <w:pPr>
              <w:spacing w:after="0"/>
              <w:rPr>
                <w:i/>
              </w:rPr>
            </w:pPr>
          </w:p>
          <w:p w:rsidR="00596A0B" w:rsidRPr="000A0BC6" w:rsidRDefault="00596A0B" w:rsidP="00EA4D99">
            <w:pPr>
              <w:spacing w:after="0"/>
              <w:rPr>
                <w:i/>
                <w:sz w:val="2"/>
                <w:szCs w:val="2"/>
              </w:rPr>
            </w:pPr>
          </w:p>
          <w:p w:rsidR="00596A0B" w:rsidRPr="000A0BC6" w:rsidRDefault="00596A0B" w:rsidP="006F2EE4">
            <w:pPr>
              <w:spacing w:after="0"/>
              <w:rPr>
                <w:i/>
                <w:sz w:val="6"/>
                <w:szCs w:val="6"/>
              </w:rPr>
            </w:pPr>
          </w:p>
        </w:tc>
      </w:tr>
      <w:tr w:rsidR="00596A0B" w:rsidRPr="000A0BC6" w:rsidTr="00EA4D99">
        <w:tc>
          <w:tcPr>
            <w:tcW w:w="3708" w:type="dxa"/>
          </w:tcPr>
          <w:p w:rsidR="00596A0B" w:rsidRPr="000A0BC6" w:rsidRDefault="00596A0B" w:rsidP="00EA4D99">
            <w:pPr>
              <w:spacing w:after="0"/>
              <w:ind w:left="360"/>
              <w:rPr>
                <w:i/>
              </w:rPr>
            </w:pPr>
          </w:p>
        </w:tc>
        <w:tc>
          <w:tcPr>
            <w:tcW w:w="4814" w:type="dxa"/>
          </w:tcPr>
          <w:p w:rsidR="00596A0B" w:rsidRPr="000A0BC6" w:rsidRDefault="00596A0B" w:rsidP="00EA4D99">
            <w:pPr>
              <w:spacing w:after="0"/>
              <w:rPr>
                <w:i/>
                <w:sz w:val="6"/>
                <w:szCs w:val="6"/>
              </w:rPr>
            </w:pPr>
          </w:p>
        </w:tc>
      </w:tr>
    </w:tbl>
    <w:p w:rsidR="00596A0B" w:rsidRPr="00EF771C" w:rsidRDefault="00596A0B" w:rsidP="00596A0B">
      <w:pPr>
        <w:rPr>
          <w:szCs w:val="22"/>
        </w:rPr>
      </w:pPr>
    </w:p>
    <w:tbl>
      <w:tblPr>
        <w:tblStyle w:val="TableGrid3"/>
        <w:tblW w:w="0" w:type="auto"/>
        <w:tblLook w:val="01E0" w:firstRow="1" w:lastRow="1" w:firstColumn="1" w:lastColumn="1" w:noHBand="0" w:noVBand="0"/>
      </w:tblPr>
      <w:tblGrid>
        <w:gridCol w:w="1709"/>
        <w:gridCol w:w="6813"/>
      </w:tblGrid>
      <w:tr w:rsidR="00596A0B" w:rsidRPr="000A0BC6" w:rsidTr="00EA4D99">
        <w:tc>
          <w:tcPr>
            <w:tcW w:w="1709" w:type="dxa"/>
          </w:tcPr>
          <w:p w:rsidR="00596A0B" w:rsidRPr="000A0BC6" w:rsidRDefault="00596A0B" w:rsidP="00EA4D99">
            <w:pPr>
              <w:rPr>
                <w:i/>
              </w:rPr>
            </w:pPr>
            <w:r w:rsidRPr="000A0BC6">
              <w:rPr>
                <w:i/>
              </w:rPr>
              <w:t>Attachment 1</w:t>
            </w:r>
          </w:p>
        </w:tc>
        <w:tc>
          <w:tcPr>
            <w:tcW w:w="6813" w:type="dxa"/>
          </w:tcPr>
          <w:p w:rsidR="00596A0B" w:rsidRPr="000A0BC6" w:rsidRDefault="00596A0B" w:rsidP="0073021B">
            <w:pPr>
              <w:rPr>
                <w:i/>
              </w:rPr>
            </w:pPr>
            <w:r w:rsidRPr="000A0BC6">
              <w:rPr>
                <w:i/>
              </w:rPr>
              <w:t xml:space="preserve">Planning Proposal </w:t>
            </w:r>
            <w:r w:rsidR="0073021B">
              <w:rPr>
                <w:i/>
              </w:rPr>
              <w:t xml:space="preserve">– Biodiversity Offsets </w:t>
            </w:r>
            <w:r w:rsidRPr="000A0BC6">
              <w:rPr>
                <w:i/>
              </w:rPr>
              <w:t>(</w:t>
            </w:r>
            <w:r>
              <w:rPr>
                <w:i/>
              </w:rPr>
              <w:t>D</w:t>
            </w:r>
            <w:r w:rsidR="0073021B">
              <w:rPr>
                <w:i/>
              </w:rPr>
              <w:t>07761174</w:t>
            </w:r>
            <w:r w:rsidRPr="000A0BC6">
              <w:rPr>
                <w:i/>
              </w:rPr>
              <w:t>)</w:t>
            </w:r>
          </w:p>
        </w:tc>
      </w:tr>
      <w:tr w:rsidR="00596A0B" w:rsidRPr="000A0BC6" w:rsidTr="00EA4D99">
        <w:tc>
          <w:tcPr>
            <w:tcW w:w="1709" w:type="dxa"/>
          </w:tcPr>
          <w:p w:rsidR="00596A0B" w:rsidRPr="000A0BC6" w:rsidRDefault="00596A0B" w:rsidP="00EA4D99">
            <w:pPr>
              <w:rPr>
                <w:i/>
              </w:rPr>
            </w:pPr>
            <w:r w:rsidRPr="000A0BC6">
              <w:rPr>
                <w:i/>
              </w:rPr>
              <w:t>Attachment 2</w:t>
            </w:r>
          </w:p>
        </w:tc>
        <w:tc>
          <w:tcPr>
            <w:tcW w:w="6813" w:type="dxa"/>
          </w:tcPr>
          <w:p w:rsidR="00596A0B" w:rsidRPr="000A0BC6" w:rsidRDefault="0073021B" w:rsidP="0073021B">
            <w:pPr>
              <w:rPr>
                <w:i/>
              </w:rPr>
            </w:pPr>
            <w:r>
              <w:rPr>
                <w:i/>
              </w:rPr>
              <w:t>Council R</w:t>
            </w:r>
            <w:r w:rsidR="00596A0B" w:rsidRPr="000A0BC6">
              <w:rPr>
                <w:i/>
              </w:rPr>
              <w:t>eport (</w:t>
            </w:r>
            <w:r w:rsidR="00596A0B">
              <w:rPr>
                <w:i/>
              </w:rPr>
              <w:t>D</w:t>
            </w:r>
            <w:r>
              <w:rPr>
                <w:i/>
              </w:rPr>
              <w:t>07433322</w:t>
            </w:r>
            <w:r w:rsidR="00596A0B" w:rsidRPr="000A0BC6">
              <w:rPr>
                <w:i/>
              </w:rPr>
              <w:t>)</w:t>
            </w:r>
          </w:p>
        </w:tc>
      </w:tr>
      <w:tr w:rsidR="00596A0B" w:rsidRPr="000A0BC6" w:rsidTr="00EA4D99">
        <w:tc>
          <w:tcPr>
            <w:tcW w:w="1709" w:type="dxa"/>
          </w:tcPr>
          <w:p w:rsidR="00596A0B" w:rsidRPr="000A0BC6" w:rsidRDefault="00596A0B" w:rsidP="00EA4D99">
            <w:pPr>
              <w:rPr>
                <w:i/>
              </w:rPr>
            </w:pPr>
            <w:r w:rsidRPr="000A0BC6">
              <w:rPr>
                <w:i/>
              </w:rPr>
              <w:t>Attachment 3</w:t>
            </w:r>
          </w:p>
        </w:tc>
        <w:tc>
          <w:tcPr>
            <w:tcW w:w="6813" w:type="dxa"/>
          </w:tcPr>
          <w:p w:rsidR="00596A0B" w:rsidRPr="000A0BC6" w:rsidRDefault="00596A0B" w:rsidP="0073021B">
            <w:pPr>
              <w:rPr>
                <w:i/>
              </w:rPr>
            </w:pPr>
            <w:r w:rsidRPr="000A0BC6">
              <w:rPr>
                <w:i/>
              </w:rPr>
              <w:t>Gateway Determination (</w:t>
            </w:r>
            <w:r w:rsidR="0073021B">
              <w:rPr>
                <w:i/>
              </w:rPr>
              <w:t>D07823544</w:t>
            </w:r>
            <w:r w:rsidRPr="000A0BC6">
              <w:rPr>
                <w:i/>
              </w:rPr>
              <w:t>)</w:t>
            </w:r>
          </w:p>
        </w:tc>
      </w:tr>
    </w:tbl>
    <w:p w:rsidR="00596A0B" w:rsidRDefault="00596A0B" w:rsidP="00596A0B"/>
    <w:p w:rsidR="00491184" w:rsidRDefault="00491184"/>
    <w:sectPr w:rsidR="00491184">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1C" w:rsidRDefault="00CC311C">
      <w:pPr>
        <w:spacing w:after="0"/>
      </w:pPr>
      <w:r>
        <w:separator/>
      </w:r>
    </w:p>
  </w:endnote>
  <w:endnote w:type="continuationSeparator" w:id="0">
    <w:p w:rsidR="00CC311C" w:rsidRDefault="00CC3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275623"/>
      <w:docPartObj>
        <w:docPartGallery w:val="Page Numbers (Bottom of Page)"/>
        <w:docPartUnique/>
      </w:docPartObj>
    </w:sdtPr>
    <w:sdtEndPr/>
    <w:sdtContent>
      <w:sdt>
        <w:sdtPr>
          <w:id w:val="860082579"/>
          <w:docPartObj>
            <w:docPartGallery w:val="Page Numbers (Top of Page)"/>
            <w:docPartUnique/>
          </w:docPartObj>
        </w:sdtPr>
        <w:sdtEndPr/>
        <w:sdtContent>
          <w:p w:rsidR="001F5CBF" w:rsidRDefault="00887267">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C586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C586A">
              <w:rPr>
                <w:b/>
                <w:bCs/>
                <w:noProof/>
              </w:rPr>
              <w:t>5</w:t>
            </w:r>
            <w:r>
              <w:rPr>
                <w:b/>
                <w:bCs/>
                <w:sz w:val="24"/>
              </w:rPr>
              <w:fldChar w:fldCharType="end"/>
            </w:r>
          </w:p>
        </w:sdtContent>
      </w:sdt>
    </w:sdtContent>
  </w:sdt>
  <w:p w:rsidR="001F5CBF" w:rsidRDefault="00CC3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8C" w:rsidRPr="00313990" w:rsidRDefault="00CC311C" w:rsidP="004D254D">
    <w:pPr>
      <w:tabs>
        <w:tab w:val="right" w:pos="8505"/>
      </w:tabs>
      <w:ind w:right="-142"/>
      <w:jc w:val="both"/>
      <w:rPr>
        <w:rFonts w:cs="Arial"/>
        <w:bCs/>
        <w:sz w:val="12"/>
        <w:szCs w:val="12"/>
      </w:rPr>
    </w:pPr>
  </w:p>
  <w:p w:rsidR="007F508C" w:rsidRPr="002F088B" w:rsidRDefault="00887267" w:rsidP="004D254D">
    <w:pPr>
      <w:pBdr>
        <w:top w:val="single" w:sz="8" w:space="1" w:color="auto"/>
      </w:pBdr>
      <w:tabs>
        <w:tab w:val="right" w:pos="9412"/>
      </w:tabs>
      <w:rPr>
        <w:rStyle w:val="PageNumber"/>
        <w:rFonts w:cs="Arial"/>
        <w:b/>
        <w:bCs/>
        <w:noProof/>
        <w:color w:val="808080"/>
        <w:szCs w:val="22"/>
      </w:rPr>
    </w:pPr>
    <w:r w:rsidRPr="00313990">
      <w:rPr>
        <w:rFonts w:cs="Arial"/>
        <w:bCs/>
        <w:color w:val="808080"/>
        <w:szCs w:val="22"/>
      </w:rPr>
      <w:fldChar w:fldCharType="begin"/>
    </w:r>
    <w:r w:rsidRPr="00313990">
      <w:rPr>
        <w:rFonts w:cs="Arial"/>
        <w:bCs/>
        <w:color w:val="808080"/>
        <w:szCs w:val="22"/>
      </w:rPr>
      <w:instrText xml:space="preserve"> FILENAME   \* MERGEFORMAT </w:instrText>
    </w:r>
    <w:r w:rsidRPr="00313990">
      <w:rPr>
        <w:rFonts w:cs="Arial"/>
        <w:bCs/>
        <w:color w:val="808080"/>
        <w:szCs w:val="22"/>
      </w:rPr>
      <w:fldChar w:fldCharType="separate"/>
    </w:r>
    <w:r w:rsidR="00F252FA">
      <w:rPr>
        <w:rFonts w:cs="Arial"/>
        <w:bCs/>
        <w:noProof/>
        <w:color w:val="808080"/>
        <w:szCs w:val="22"/>
      </w:rPr>
      <w:t>Biodiversity offsets.docx</w:t>
    </w:r>
    <w:r w:rsidRPr="00313990">
      <w:rPr>
        <w:rFonts w:cs="Arial"/>
        <w:bCs/>
        <w:color w:val="808080"/>
        <w:szCs w:val="22"/>
      </w:rPr>
      <w:fldChar w:fldCharType="end"/>
    </w:r>
    <w:r w:rsidRPr="002F088B">
      <w:rPr>
        <w:rFonts w:cs="Arial"/>
        <w:b/>
        <w:bCs/>
        <w:color w:val="808080"/>
        <w:szCs w:val="22"/>
      </w:rPr>
      <w:tab/>
    </w:r>
    <w:r w:rsidRPr="002F088B">
      <w:rPr>
        <w:rFonts w:cs="Arial"/>
        <w:bCs/>
        <w:color w:val="808080"/>
        <w:szCs w:val="22"/>
      </w:rPr>
      <w:t xml:space="preserve">Page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PAGE </w:instrText>
    </w:r>
    <w:r w:rsidRPr="002F088B">
      <w:rPr>
        <w:rStyle w:val="PageNumber"/>
        <w:rFonts w:cs="Arial"/>
        <w:bCs/>
        <w:noProof/>
        <w:color w:val="808080"/>
        <w:szCs w:val="22"/>
      </w:rPr>
      <w:fldChar w:fldCharType="separate"/>
    </w:r>
    <w:r>
      <w:rPr>
        <w:rStyle w:val="PageNumber"/>
        <w:rFonts w:cs="Arial"/>
        <w:bCs/>
        <w:noProof/>
        <w:color w:val="808080"/>
        <w:szCs w:val="22"/>
      </w:rPr>
      <w:t>5</w:t>
    </w:r>
    <w:r w:rsidRPr="002F088B">
      <w:rPr>
        <w:rStyle w:val="PageNumber"/>
        <w:rFonts w:cs="Arial"/>
        <w:bCs/>
        <w:noProof/>
        <w:color w:val="808080"/>
        <w:szCs w:val="22"/>
      </w:rPr>
      <w:fldChar w:fldCharType="end"/>
    </w:r>
    <w:r w:rsidRPr="002F088B">
      <w:rPr>
        <w:rStyle w:val="PageNumber"/>
        <w:rFonts w:cs="Arial"/>
        <w:bCs/>
        <w:noProof/>
        <w:color w:val="808080"/>
        <w:szCs w:val="22"/>
      </w:rPr>
      <w:t xml:space="preserve"> of </w:t>
    </w:r>
    <w:r w:rsidRPr="002F088B">
      <w:rPr>
        <w:rStyle w:val="PageNumber"/>
        <w:rFonts w:cs="Arial"/>
        <w:bCs/>
        <w:noProof/>
        <w:color w:val="808080"/>
        <w:szCs w:val="22"/>
      </w:rPr>
      <w:fldChar w:fldCharType="begin"/>
    </w:r>
    <w:r w:rsidRPr="002F088B">
      <w:rPr>
        <w:rStyle w:val="PageNumber"/>
        <w:rFonts w:cs="Arial"/>
        <w:bCs/>
        <w:noProof/>
        <w:color w:val="808080"/>
        <w:szCs w:val="22"/>
      </w:rPr>
      <w:instrText xml:space="preserve"> NUMPAGES </w:instrText>
    </w:r>
    <w:r w:rsidRPr="002F088B">
      <w:rPr>
        <w:rStyle w:val="PageNumber"/>
        <w:rFonts w:cs="Arial"/>
        <w:bCs/>
        <w:noProof/>
        <w:color w:val="808080"/>
        <w:szCs w:val="22"/>
      </w:rPr>
      <w:fldChar w:fldCharType="separate"/>
    </w:r>
    <w:r w:rsidR="00F252FA">
      <w:rPr>
        <w:rStyle w:val="PageNumber"/>
        <w:rFonts w:cs="Arial"/>
        <w:bCs/>
        <w:noProof/>
        <w:color w:val="808080"/>
        <w:szCs w:val="22"/>
      </w:rPr>
      <w:t>5</w:t>
    </w:r>
    <w:r w:rsidRPr="002F088B">
      <w:rPr>
        <w:rStyle w:val="PageNumber"/>
        <w:rFonts w:cs="Arial"/>
        <w:bCs/>
        <w:noProof/>
        <w:color w:val="80808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1C" w:rsidRDefault="00CC311C">
      <w:pPr>
        <w:spacing w:after="0"/>
      </w:pPr>
      <w:r>
        <w:separator/>
      </w:r>
    </w:p>
  </w:footnote>
  <w:footnote w:type="continuationSeparator" w:id="0">
    <w:p w:rsidR="00CC311C" w:rsidRDefault="00CC31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98142D8"/>
    <w:multiLevelType w:val="hybridMultilevel"/>
    <w:tmpl w:val="2FE81C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83F7A"/>
    <w:multiLevelType w:val="hybridMultilevel"/>
    <w:tmpl w:val="ED90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91570C"/>
    <w:multiLevelType w:val="hybridMultilevel"/>
    <w:tmpl w:val="72465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18602E"/>
    <w:multiLevelType w:val="hybridMultilevel"/>
    <w:tmpl w:val="7FE60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2F1D36"/>
    <w:multiLevelType w:val="hybridMultilevel"/>
    <w:tmpl w:val="EC46EC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FF00344"/>
    <w:multiLevelType w:val="hybridMultilevel"/>
    <w:tmpl w:val="F36AD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9"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55E0682"/>
    <w:multiLevelType w:val="hybridMultilevel"/>
    <w:tmpl w:val="CB0C3D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81179D"/>
    <w:multiLevelType w:val="hybridMultilevel"/>
    <w:tmpl w:val="2F24BF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0"/>
  </w:num>
  <w:num w:numId="6">
    <w:abstractNumId w:val="10"/>
  </w:num>
  <w:num w:numId="7">
    <w:abstractNumId w:val="9"/>
  </w:num>
  <w:num w:numId="8">
    <w:abstractNumId w:val="6"/>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0"/>
  </w:num>
  <w:num w:numId="22">
    <w:abstractNumId w:val="10"/>
  </w:num>
  <w:num w:numId="23">
    <w:abstractNumId w:val="9"/>
  </w:num>
  <w:num w:numId="24">
    <w:abstractNumId w:val="6"/>
  </w:num>
  <w:num w:numId="25">
    <w:abstractNumId w:val="8"/>
  </w:num>
  <w:num w:numId="26">
    <w:abstractNumId w:val="8"/>
  </w:num>
  <w:num w:numId="27">
    <w:abstractNumId w:val="8"/>
  </w:num>
  <w:num w:numId="28">
    <w:abstractNumId w:val="8"/>
  </w:num>
  <w:num w:numId="29">
    <w:abstractNumId w:val="0"/>
  </w:num>
  <w:num w:numId="30">
    <w:abstractNumId w:val="10"/>
  </w:num>
  <w:num w:numId="31">
    <w:abstractNumId w:val="9"/>
  </w:num>
  <w:num w:numId="32">
    <w:abstractNumId w:val="6"/>
  </w:num>
  <w:num w:numId="33">
    <w:abstractNumId w:val="3"/>
  </w:num>
  <w:num w:numId="34">
    <w:abstractNumId w:val="7"/>
  </w:num>
  <w:num w:numId="35">
    <w:abstractNumId w:val="12"/>
  </w:num>
  <w:num w:numId="36">
    <w:abstractNumId w:val="1"/>
  </w:num>
  <w:num w:numId="37">
    <w:abstractNumId w:val="11"/>
  </w:num>
  <w:num w:numId="38">
    <w:abstractNumId w:val="2"/>
  </w:num>
  <w:num w:numId="39">
    <w:abstractNumId w:val="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latedRecord" w:val=" "/>
    <w:docVar w:name="Task" w:val="Ready to Save current document into TRIM."/>
    <w:docVar w:name="TRIMedDoc" w:val="TRIMedyes"/>
    <w:docVar w:name="TRIMedDocumentNo" w:val="D07952307"/>
    <w:docVar w:name="TRIMError" w:val="RecordAccessUpdate"/>
    <w:docVar w:name="UserMessageWindow" w:val="Click 'Save Document to TRIM' button....._x000d_"/>
  </w:docVars>
  <w:rsids>
    <w:rsidRoot w:val="00596A0B"/>
    <w:rsid w:val="000D1CE9"/>
    <w:rsid w:val="000D7183"/>
    <w:rsid w:val="000E477E"/>
    <w:rsid w:val="00112123"/>
    <w:rsid w:val="00132236"/>
    <w:rsid w:val="0015675E"/>
    <w:rsid w:val="0016189F"/>
    <w:rsid w:val="001A16D5"/>
    <w:rsid w:val="001C28AD"/>
    <w:rsid w:val="001E431B"/>
    <w:rsid w:val="00215A6F"/>
    <w:rsid w:val="00241430"/>
    <w:rsid w:val="00255BA4"/>
    <w:rsid w:val="002F55EA"/>
    <w:rsid w:val="003309C5"/>
    <w:rsid w:val="003372E0"/>
    <w:rsid w:val="00385918"/>
    <w:rsid w:val="003A5502"/>
    <w:rsid w:val="00474B9C"/>
    <w:rsid w:val="00491184"/>
    <w:rsid w:val="004C095E"/>
    <w:rsid w:val="004C4688"/>
    <w:rsid w:val="00596A0B"/>
    <w:rsid w:val="005C0DCE"/>
    <w:rsid w:val="005C5DDE"/>
    <w:rsid w:val="006E5492"/>
    <w:rsid w:val="006E6B61"/>
    <w:rsid w:val="006F2EE4"/>
    <w:rsid w:val="007226D1"/>
    <w:rsid w:val="0073021B"/>
    <w:rsid w:val="00777E48"/>
    <w:rsid w:val="00782256"/>
    <w:rsid w:val="007D1926"/>
    <w:rsid w:val="007E7F47"/>
    <w:rsid w:val="00887267"/>
    <w:rsid w:val="00887A6C"/>
    <w:rsid w:val="008A48FD"/>
    <w:rsid w:val="008C586A"/>
    <w:rsid w:val="008F7C2A"/>
    <w:rsid w:val="009004F9"/>
    <w:rsid w:val="00977D33"/>
    <w:rsid w:val="009A2F36"/>
    <w:rsid w:val="009A6F2C"/>
    <w:rsid w:val="009D1CCD"/>
    <w:rsid w:val="00A3373F"/>
    <w:rsid w:val="00A650A1"/>
    <w:rsid w:val="00A719AF"/>
    <w:rsid w:val="00A87295"/>
    <w:rsid w:val="00A96FF7"/>
    <w:rsid w:val="00AA393B"/>
    <w:rsid w:val="00AB36DB"/>
    <w:rsid w:val="00B34819"/>
    <w:rsid w:val="00BF3AC1"/>
    <w:rsid w:val="00C14974"/>
    <w:rsid w:val="00C20221"/>
    <w:rsid w:val="00CA0B46"/>
    <w:rsid w:val="00CC311C"/>
    <w:rsid w:val="00D333C7"/>
    <w:rsid w:val="00D507C0"/>
    <w:rsid w:val="00D90F69"/>
    <w:rsid w:val="00D92B16"/>
    <w:rsid w:val="00DD3B7A"/>
    <w:rsid w:val="00DD78FA"/>
    <w:rsid w:val="00E219DB"/>
    <w:rsid w:val="00E820D7"/>
    <w:rsid w:val="00E860DF"/>
    <w:rsid w:val="00E9250E"/>
    <w:rsid w:val="00ED4025"/>
    <w:rsid w:val="00EF6823"/>
    <w:rsid w:val="00F130D5"/>
    <w:rsid w:val="00F13E1C"/>
    <w:rsid w:val="00F252FA"/>
    <w:rsid w:val="00F80E44"/>
    <w:rsid w:val="00F910F4"/>
    <w:rsid w:val="00F95692"/>
    <w:rsid w:val="00FE4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iscardImageEditingData/>
  <w15:docId w15:val="{4D6DD748-B303-4F30-987E-EF1E006E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6A0B"/>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rsid w:val="004C4688"/>
    <w:pPr>
      <w:spacing w:after="60"/>
      <w:ind w:left="851" w:hanging="284"/>
      <w:contextualSpacing/>
    </w:pPr>
  </w:style>
  <w:style w:type="character" w:styleId="PageNumber">
    <w:name w:val="page number"/>
    <w:basedOn w:val="DefaultParagraphFont"/>
    <w:rsid w:val="00596A0B"/>
  </w:style>
  <w:style w:type="table" w:customStyle="1" w:styleId="TableGrid1">
    <w:name w:val="Table Grid1"/>
    <w:basedOn w:val="TableNormal"/>
    <w:next w:val="TableGrid"/>
    <w:rsid w:val="00596A0B"/>
    <w:pPr>
      <w:spacing w:after="160"/>
      <w:ind w:left="0" w:firstLine="0"/>
    </w:pPr>
    <w:rPr>
      <w:szCs w:val="20"/>
    </w:rPr>
    <w:tblPr/>
  </w:style>
  <w:style w:type="table" w:customStyle="1" w:styleId="TableGrid2">
    <w:name w:val="Table Grid2"/>
    <w:basedOn w:val="TableNormal"/>
    <w:next w:val="TableGrid"/>
    <w:rsid w:val="00596A0B"/>
    <w:pPr>
      <w:spacing w:after="160"/>
      <w:ind w:left="0" w:firstLine="0"/>
    </w:pPr>
    <w:rPr>
      <w:szCs w:val="20"/>
    </w:rPr>
    <w:tblPr/>
  </w:style>
  <w:style w:type="table" w:customStyle="1" w:styleId="TableGrid3">
    <w:name w:val="Table Grid3"/>
    <w:basedOn w:val="TableNormal"/>
    <w:next w:val="TableGrid"/>
    <w:rsid w:val="00596A0B"/>
    <w:pPr>
      <w:spacing w:after="160"/>
      <w:ind w:left="0" w:firstLine="0"/>
    </w:pPr>
    <w:rPr>
      <w:szCs w:val="20"/>
    </w:rPr>
    <w:tblPr/>
  </w:style>
  <w:style w:type="character" w:customStyle="1" w:styleId="FooterChar">
    <w:name w:val="Footer Char"/>
    <w:basedOn w:val="DefaultParagraphFont"/>
    <w:link w:val="Footer"/>
    <w:uiPriority w:val="99"/>
    <w:rsid w:val="00596A0B"/>
    <w:rPr>
      <w:i/>
      <w:sz w:val="18"/>
      <w:szCs w:val="24"/>
    </w:rPr>
  </w:style>
  <w:style w:type="paragraph" w:styleId="BalloonText">
    <w:name w:val="Balloon Text"/>
    <w:basedOn w:val="Normal"/>
    <w:link w:val="BalloonTextChar"/>
    <w:rsid w:val="00596A0B"/>
    <w:pPr>
      <w:spacing w:after="0"/>
    </w:pPr>
    <w:rPr>
      <w:rFonts w:ascii="Tahoma" w:hAnsi="Tahoma" w:cs="Tahoma"/>
      <w:sz w:val="16"/>
      <w:szCs w:val="16"/>
    </w:rPr>
  </w:style>
  <w:style w:type="character" w:customStyle="1" w:styleId="BalloonTextChar">
    <w:name w:val="Balloon Text Char"/>
    <w:basedOn w:val="DefaultParagraphFont"/>
    <w:link w:val="BalloonText"/>
    <w:rsid w:val="00596A0B"/>
    <w:rPr>
      <w:rFonts w:ascii="Tahoma" w:hAnsi="Tahoma" w:cs="Tahoma"/>
      <w:sz w:val="16"/>
      <w:szCs w:val="16"/>
    </w:rPr>
  </w:style>
  <w:style w:type="paragraph" w:customStyle="1" w:styleId="Default">
    <w:name w:val="Default"/>
    <w:rsid w:val="00596A0B"/>
    <w:pPr>
      <w:autoSpaceDE w:val="0"/>
      <w:autoSpaceDN w:val="0"/>
      <w:adjustRightInd w:val="0"/>
      <w:spacing w:after="0"/>
      <w:ind w:left="0" w:firstLine="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A2608388.dotm</Template>
  <TotalTime>0</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atroke</dc:creator>
  <cp:lastModifiedBy>Amy Blakely</cp:lastModifiedBy>
  <cp:revision>2</cp:revision>
  <cp:lastPrinted>2016-07-13T04:46:00Z</cp:lastPrinted>
  <dcterms:created xsi:type="dcterms:W3CDTF">2016-12-04T22:51:00Z</dcterms:created>
  <dcterms:modified xsi:type="dcterms:W3CDTF">2016-12-04T22:51:00Z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D07952307</vt:lpwstr>
  </property>
</Properties>
</file>